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pStyle w:val="Heading2"/>
        <w:contextualSpacing w:val="0"/>
        <w:rPr>
          <w:i w:val="0"/>
          <w:sz w:val="36"/>
          <w:szCs w:val="36"/>
        </w:rPr>
      </w:pPr>
      <w:r w:rsidDel="00000000" w:rsidR="00000000" w:rsidRPr="00000000">
        <w:rPr>
          <w:i w:val="0"/>
          <w:sz w:val="36"/>
          <w:szCs w:val="36"/>
          <w:rtl w:val="0"/>
        </w:rPr>
        <w:t xml:space="preserve">Transfer permanent AV records to NARA</w:t>
      </w:r>
    </w:p>
    <w:p w:rsidR="00000000" w:rsidDel="00000000" w:rsidP="00000000" w:rsidRDefault="00000000" w:rsidRPr="00000000" w14:paraId="00000001">
      <w:pPr>
        <w:pStyle w:val="Heading2"/>
        <w:contextualSpacing w:val="0"/>
        <w:rPr/>
      </w:pPr>
      <w:r w:rsidDel="00000000" w:rsidR="00000000" w:rsidRPr="00000000">
        <w:rPr>
          <w:rtl w:val="0"/>
        </w:rPr>
        <w:t xml:space="preserve">Instructions for Using This Job Aid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240" w:lineRule="auto"/>
        <w:ind w:right="43"/>
        <w:contextualSpacing w:val="0"/>
        <w:rPr>
          <w:i w:val="1"/>
          <w:color w:val="000000"/>
        </w:rPr>
      </w:pPr>
      <w:r w:rsidDel="00000000" w:rsidR="00000000" w:rsidRPr="00000000">
        <w:rPr>
          <w:i w:val="1"/>
          <w:color w:val="000000"/>
          <w:rtl w:val="0"/>
        </w:rPr>
        <w:t xml:space="preserve">Use this job aid when you are assigned to transfer permanent AV records to NARA.  Check off each step when you have completed the step.</w:t>
      </w:r>
    </w:p>
    <w:tbl>
      <w:tblPr>
        <w:tblStyle w:val="Table1"/>
        <w:tblW w:w="13752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815"/>
        <w:gridCol w:w="10080"/>
        <w:gridCol w:w="857"/>
        <w:tblGridChange w:id="0">
          <w:tblGrid>
            <w:gridCol w:w="2815"/>
            <w:gridCol w:w="10080"/>
            <w:gridCol w:w="857"/>
          </w:tblGrid>
        </w:tblGridChange>
      </w:tblGrid>
      <w:tr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95b3d7" w:val="clear"/>
            <w:vAlign w:val="center"/>
          </w:tcPr>
          <w:p w:rsidR="00000000" w:rsidDel="00000000" w:rsidP="00000000" w:rsidRDefault="00000000" w:rsidRPr="00000000" w14:paraId="00000003">
            <w:pP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Procedure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95b3d7" w:val="clear"/>
            <w:vAlign w:val="center"/>
          </w:tcPr>
          <w:p w:rsidR="00000000" w:rsidDel="00000000" w:rsidP="00000000" w:rsidRDefault="00000000" w:rsidRPr="00000000" w14:paraId="00000004">
            <w:pPr>
              <w:spacing w:after="20" w:lineRule="auto"/>
              <w:contextualSpacing w:val="0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Actions/Decisions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95b3d7" w:val="clear"/>
            <w:vAlign w:val="center"/>
          </w:tcPr>
          <w:p w:rsidR="00000000" w:rsidDel="00000000" w:rsidP="00000000" w:rsidRDefault="00000000" w:rsidRPr="00000000" w14:paraId="00000005">
            <w:pPr>
              <w:spacing w:after="40" w:lineRule="auto"/>
              <w:contextualSpacing w:val="0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40" w:hRule="atLeast"/>
        </w:trPr>
        <w:tc>
          <w:tcPr>
            <w:vMerge w:val="restart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6">
            <w:pP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1. Review potentially permanent AV records for transfer to NARA.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Receive notification from the originating office or interim holding area of AV records eligible for transfer to NARA.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8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000000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Collect preliminary information about the records via form or narrative, such as media type, volume, chronology, arrangement, location, physical condition, and applicable record schedule item, to confirm transfer eligibility.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000000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Review the information. If the records are not eligible for transfer, then inform the originating office and consult on alternative disposition.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000000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they are eligible, then, depending on resources, either receive the records to prepare them for transfer or prepare them in place.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spacing w:after="0" w:before="0" w:lineRule="auto"/>
              <w:contextualSpacing w:val="0"/>
              <w:jc w:val="center"/>
              <w:rPr>
                <w:rFonts w:ascii="EB Garamond" w:cs="EB Garamond" w:eastAsia="EB Garamond" w:hAnsi="EB Garamond"/>
                <w:color w:val="000000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620" w:hRule="atLeast"/>
        </w:trPr>
        <w:tc>
          <w:tcPr>
            <w:vMerge w:val="restart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2">
            <w:pP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2. Prepare the records for transfer.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 records are not sorted into individual records series, then sort them.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4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 records document different programs or subjects, then separate into such within series and place in searchable order within NARA-approved boxes (Hollinger boxes), whether by subject, chronology, or other logical identifier.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7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 records are already in boxes, then inspect the cartons and replace any as necessary.  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A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Check to see if a detailed index (box list of contents) accompanies the records/items to be transferred.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D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an index is included, then review it and contact the originating office if you need more information.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0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Sample at least 10% of the box contents to confirm index accuracy and correct records series identification.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3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5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 records are found to be incorrectly scheduled, then notify the originating office and/or Agency Records Officer (ARO) and wait for further instructions regarding the eventual disposition of the records.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6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 records/items have not been previously indexed, then inventory them by container, capturing such metadata as series and/or subject titles, folder titles, dates, and any other necessary contextual information.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9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some indexing information already exists, then use that for the inventory.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C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Confirm records series identification while inventorying contents.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2F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a discrepancy is found, then follow 7.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2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agency policy requires, place a copy of relevant content list inside each box.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5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Place identifying information about the records on the outside of the boxes, as necessary.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8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Transfer the indexing information (metadata) to a spreadsheet or similar collection form for future internal reference and retain according to agency policy.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B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restart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rtl w:val="0"/>
              </w:rPr>
              <w:t xml:space="preserve">3. Create a Transfer Request (TR) in NARA’s Electronic Records Archives (ERA)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you have an ERA account, then create a TR in ERA and attach the box content lists (indexes).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3E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you do not have an ERA account, then contact the ARO or the ERA account holder and request that a TR be created, with attached box lists.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41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required by procedure, notify the ARO that a TR is pending in ERA for approval.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44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46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there are questions about the records as the TR is being processed, then respond with revised and/or additional supporting information, as necessary.  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47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4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49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 TR is not approved, then confer with the ARO and determine final disposition of the records.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4A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4C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 TR is approved, then prepare the records for transfer to NARA.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4D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restart"/>
            <w:tcBorders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4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rtl w:val="0"/>
              </w:rPr>
              <w:t xml:space="preserve">4. Transfer permanent AV records to NARA.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4F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Annotate any additional required identifying information, such as the assigned TR number, onto the cartons.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50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5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52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there are numerous boxes to ship, then palletize them.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53">
            <w:pPr>
              <w:spacing w:after="0" w:before="0" w:lineRule="auto"/>
              <w:contextualSpacing w:val="0"/>
              <w:jc w:val="center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5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55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shipping older analog film, photographs, video/sound recordings, slides, or posters, consult with the originating office regarding whether any special handling, such as refrigerated, and/or overnight delivery is recommended or required for the transfer.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56">
            <w:pPr>
              <w:spacing w:after="0" w:before="0" w:lineRule="auto"/>
              <w:contextualSpacing w:val="0"/>
              <w:jc w:val="center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58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If so, then coordinate with the office’s administrative support unit to arrange for special handling of the records.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59">
            <w:pPr>
              <w:spacing w:after="0" w:before="0" w:lineRule="auto"/>
              <w:contextualSpacing w:val="0"/>
              <w:jc w:val="center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5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Notify NARA when the records have been shipped.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5C">
            <w:pPr>
              <w:spacing w:after="0" w:before="0" w:lineRule="auto"/>
              <w:contextualSpacing w:val="0"/>
              <w:jc w:val="center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5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5E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Request notification from the shipper that the records have been received by NARA.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5F">
            <w:pPr>
              <w:spacing w:after="0" w:before="0" w:lineRule="auto"/>
              <w:contextualSpacing w:val="0"/>
              <w:jc w:val="center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6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61">
            <w:pPr>
              <w:keepNext w:val="0"/>
              <w:keepLines w:val="0"/>
              <w:widowControl w:val="1"/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Maintain an internal record of all archival transfers and retain according to applicable agency policy.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62">
            <w:pPr>
              <w:spacing w:after="0" w:before="0" w:lineRule="auto"/>
              <w:contextualSpacing w:val="0"/>
              <w:jc w:val="center"/>
              <w:rPr>
                <w:rFonts w:ascii="Quattrocento Sans" w:cs="Quattrocento Sans" w:eastAsia="Quattrocento Sans" w:hAnsi="Quattrocento Sans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</w:p>
        </w:tc>
      </w:tr>
    </w:tbl>
    <w:p w:rsidR="00000000" w:rsidDel="00000000" w:rsidP="00000000" w:rsidRDefault="00000000" w:rsidRPr="00000000" w14:paraId="00000063">
      <w:pPr>
        <w:contextualSpacing w:val="0"/>
        <w:rPr/>
      </w:pPr>
      <w:bookmarkStart w:colFirst="0" w:colLast="0" w:name="_gjdgxs" w:id="0"/>
      <w:bookmarkEnd w:id="0"/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2240" w:w="15840"/>
      <w:pgMar w:bottom="1152" w:top="1152" w:left="1152" w:right="115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Arial Unicode MS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Quattrocento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6750"/>
        <w:tab w:val="right" w:pos="13500"/>
      </w:tabs>
      <w:contextualSpacing w:val="0"/>
      <w:rPr>
        <w:rFonts w:ascii="Arial" w:cs="Arial" w:eastAsia="Arial" w:hAnsi="Arial"/>
        <w:i w:val="1"/>
        <w:color w:val="000000"/>
        <w:sz w:val="20"/>
        <w:szCs w:val="20"/>
      </w:rPr>
    </w:pP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 xml:space="preserve">Page </w:t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 xml:space="preserve"> of </w:t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13500"/>
      </w:tabs>
      <w:contextualSpacing w:val="0"/>
      <w:rPr>
        <w:rFonts w:ascii="Arial" w:cs="Arial" w:eastAsia="Arial" w:hAnsi="Arial"/>
        <w:i w:val="1"/>
        <w:color w:val="000000"/>
        <w:sz w:val="20"/>
        <w:szCs w:val="20"/>
      </w:rPr>
    </w:pP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ab/>
      <w:t xml:space="preserve">0</w:t>
    </w:r>
    <w:r w:rsidDel="00000000" w:rsidR="00000000" w:rsidRPr="00000000">
      <w:rPr>
        <w:rFonts w:ascii="Arial" w:cs="Arial" w:eastAsia="Arial" w:hAnsi="Arial"/>
        <w:i w:val="1"/>
        <w:sz w:val="20"/>
        <w:szCs w:val="20"/>
        <w:rtl w:val="0"/>
      </w:rPr>
      <w:t xml:space="preserve">6-22</w:t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 xml:space="preserve">-2018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2"/>
        <w:szCs w:val="22"/>
        <w:lang w:val="en-US"/>
      </w:rPr>
    </w:rPrDefault>
    <w:pPrDefault>
      <w:pPr>
        <w:spacing w:after="60" w:before="6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pBdr>
        <w:bottom w:color="000000" w:space="1" w:sz="4" w:val="single"/>
      </w:pBdr>
      <w:spacing w:before="240" w:lineRule="auto"/>
      <w:ind w:left="-86"/>
    </w:pPr>
    <w:rPr>
      <w:rFonts w:ascii="Arial" w:cs="Arial" w:eastAsia="Arial" w:hAnsi="Arial"/>
      <w:b w:val="1"/>
      <w:sz w:val="36"/>
      <w:szCs w:val="36"/>
    </w:rPr>
  </w:style>
  <w:style w:type="paragraph" w:styleId="Heading2">
    <w:name w:val="heading 2"/>
    <w:basedOn w:val="Normal"/>
    <w:next w:val="Normal"/>
    <w:pPr>
      <w:keepNext w:val="1"/>
    </w:pPr>
    <w:rPr>
      <w:rFonts w:ascii="Arial" w:cs="Arial" w:eastAsia="Arial" w:hAnsi="Arial"/>
      <w:b w:val="1"/>
      <w:i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5.0" w:type="dxa"/>
        <w:left w:w="115.0" w:type="dxa"/>
        <w:bottom w:w="115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11" Type="http://schemas.openxmlformats.org/officeDocument/2006/relationships/font" Target="fonts/QuattrocentoSans-italic.ttf"/><Relationship Id="rId10" Type="http://schemas.openxmlformats.org/officeDocument/2006/relationships/font" Target="fonts/QuattrocentoSans-bold.ttf"/><Relationship Id="rId12" Type="http://schemas.openxmlformats.org/officeDocument/2006/relationships/font" Target="fonts/QuattrocentoSans-boldItalic.ttf"/><Relationship Id="rId9" Type="http://schemas.openxmlformats.org/officeDocument/2006/relationships/font" Target="fonts/QuattrocentoSans-regular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