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84782" w14:textId="77777777" w:rsidR="009C3B8D" w:rsidRDefault="00000000">
      <w:pPr>
        <w:spacing w:after="0" w:line="240" w:lineRule="auto"/>
        <w:ind w:left="-720"/>
        <w:jc w:val="center"/>
        <w:rPr>
          <w:b/>
          <w:sz w:val="36"/>
          <w:szCs w:val="36"/>
        </w:rPr>
      </w:pPr>
      <w:r>
        <w:rPr>
          <w:b/>
          <w:sz w:val="36"/>
          <w:szCs w:val="36"/>
        </w:rPr>
        <w:t>GENERAL RECORDS SCHEDULE 6.7:  Special Collections Required by Statute</w:t>
      </w:r>
    </w:p>
    <w:p w14:paraId="2DFC16DA" w14:textId="77777777" w:rsidR="009C3B8D" w:rsidRDefault="009C3B8D">
      <w:pPr>
        <w:spacing w:after="0" w:line="240" w:lineRule="auto"/>
        <w:rPr>
          <w:sz w:val="20"/>
          <w:szCs w:val="20"/>
        </w:rPr>
      </w:pPr>
    </w:p>
    <w:p w14:paraId="3B056DC1" w14:textId="77777777" w:rsidR="009C3B8D" w:rsidRDefault="00000000">
      <w:r>
        <w:t xml:space="preserve">On occasion, Congress passes laws that require agencies to transfer special collections of records to the National Archives. This schedule provides disposition authority for agencies to transfer copies of these records to comply with the law. Examples of special record collections include The Civil Rights Cold Case Records Collection Act of </w:t>
      </w:r>
      <w:proofErr w:type="gramStart"/>
      <w:r>
        <w:t>2018  (</w:t>
      </w:r>
      <w:proofErr w:type="gramEnd"/>
      <w:r>
        <w:t>P.L. 115-426) and The 2024 National Defense Authorization Act: Unidentified Anomalous Phenomena Collection (Public Law 118-31, Sections 1841-1843).</w:t>
      </w:r>
    </w:p>
    <w:tbl>
      <w:tblPr>
        <w:tblStyle w:val="a1"/>
        <w:tblW w:w="145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9450"/>
        <w:gridCol w:w="2790"/>
        <w:gridCol w:w="1620"/>
      </w:tblGrid>
      <w:tr w:rsidR="009C3B8D" w14:paraId="155CA6E9" w14:textId="77777777">
        <w:trPr>
          <w:tblHeader/>
        </w:trPr>
        <w:tc>
          <w:tcPr>
            <w:tcW w:w="720" w:type="dxa"/>
            <w:shd w:val="clear" w:color="auto" w:fill="B6DDE8"/>
          </w:tcPr>
          <w:p w14:paraId="5A5066AB" w14:textId="77777777" w:rsidR="009C3B8D" w:rsidRDefault="00000000">
            <w:pPr>
              <w:spacing w:after="0" w:line="240" w:lineRule="auto"/>
              <w:jc w:val="center"/>
              <w:rPr>
                <w:b/>
              </w:rPr>
            </w:pPr>
            <w:r>
              <w:rPr>
                <w:b/>
              </w:rPr>
              <w:t>Item</w:t>
            </w:r>
          </w:p>
        </w:tc>
        <w:tc>
          <w:tcPr>
            <w:tcW w:w="9450" w:type="dxa"/>
            <w:shd w:val="clear" w:color="auto" w:fill="B6DDE8"/>
          </w:tcPr>
          <w:p w14:paraId="597F9AFE" w14:textId="77777777" w:rsidR="009C3B8D" w:rsidRDefault="00000000">
            <w:pPr>
              <w:spacing w:after="0" w:line="240" w:lineRule="auto"/>
              <w:rPr>
                <w:b/>
              </w:rPr>
            </w:pPr>
            <w:r>
              <w:rPr>
                <w:b/>
              </w:rPr>
              <w:t>Records Description</w:t>
            </w:r>
          </w:p>
        </w:tc>
        <w:tc>
          <w:tcPr>
            <w:tcW w:w="2790" w:type="dxa"/>
            <w:shd w:val="clear" w:color="auto" w:fill="B6DDE8"/>
          </w:tcPr>
          <w:p w14:paraId="0F69D932" w14:textId="77777777" w:rsidR="009C3B8D" w:rsidRDefault="00000000">
            <w:pPr>
              <w:spacing w:after="0" w:line="240" w:lineRule="auto"/>
              <w:jc w:val="center"/>
              <w:rPr>
                <w:b/>
              </w:rPr>
            </w:pPr>
            <w:r>
              <w:rPr>
                <w:b/>
              </w:rPr>
              <w:t>Disposition Instruction</w:t>
            </w:r>
          </w:p>
        </w:tc>
        <w:tc>
          <w:tcPr>
            <w:tcW w:w="1620" w:type="dxa"/>
            <w:shd w:val="clear" w:color="auto" w:fill="B6DDE8"/>
          </w:tcPr>
          <w:p w14:paraId="6ABDFB40" w14:textId="77777777" w:rsidR="009C3B8D" w:rsidRDefault="00000000">
            <w:pPr>
              <w:spacing w:after="0" w:line="240" w:lineRule="auto"/>
              <w:jc w:val="center"/>
              <w:rPr>
                <w:b/>
              </w:rPr>
            </w:pPr>
            <w:r>
              <w:rPr>
                <w:b/>
              </w:rPr>
              <w:t>Disposition Authority</w:t>
            </w:r>
          </w:p>
        </w:tc>
      </w:tr>
      <w:tr w:rsidR="009C3B8D" w14:paraId="26EC464E" w14:textId="77777777">
        <w:tc>
          <w:tcPr>
            <w:tcW w:w="720" w:type="dxa"/>
          </w:tcPr>
          <w:p w14:paraId="1E7BF843" w14:textId="77777777" w:rsidR="009C3B8D" w:rsidRDefault="00000000">
            <w:pPr>
              <w:spacing w:after="0" w:line="240" w:lineRule="auto"/>
              <w:jc w:val="center"/>
            </w:pPr>
            <w:r>
              <w:t>010</w:t>
            </w:r>
          </w:p>
        </w:tc>
        <w:tc>
          <w:tcPr>
            <w:tcW w:w="9450" w:type="dxa"/>
          </w:tcPr>
          <w:p w14:paraId="14EFDDFC" w14:textId="77777777" w:rsidR="009C3B8D" w:rsidRDefault="00000000">
            <w:pPr>
              <w:spacing w:after="0" w:line="240" w:lineRule="auto"/>
              <w:ind w:left="15"/>
              <w:rPr>
                <w:b/>
              </w:rPr>
            </w:pPr>
            <w:r>
              <w:rPr>
                <w:b/>
              </w:rPr>
              <w:t xml:space="preserve">Special collections required by statute </w:t>
            </w:r>
          </w:p>
          <w:p w14:paraId="5123D680" w14:textId="77777777" w:rsidR="009C3B8D" w:rsidRDefault="00000000">
            <w:pPr>
              <w:spacing w:after="0" w:line="240" w:lineRule="auto"/>
              <w:ind w:left="15"/>
            </w:pPr>
            <w:r>
              <w:t xml:space="preserve">Copies of records that an agency creates specifically for the purpose of transferring special collections of records to the National Archives as required by statute. </w:t>
            </w:r>
          </w:p>
          <w:p w14:paraId="66E8D10D" w14:textId="77777777" w:rsidR="009C3B8D" w:rsidRDefault="009C3B8D">
            <w:pPr>
              <w:spacing w:after="0" w:line="240" w:lineRule="auto"/>
              <w:ind w:left="15"/>
            </w:pPr>
          </w:p>
          <w:p w14:paraId="0CA8D6CA" w14:textId="77777777" w:rsidR="009C3B8D" w:rsidRDefault="00000000">
            <w:pPr>
              <w:spacing w:after="0"/>
            </w:pPr>
            <w:r>
              <w:t>Exclusion:</w:t>
            </w:r>
          </w:p>
          <w:p w14:paraId="4444A88C" w14:textId="77777777" w:rsidR="009C3B8D" w:rsidRDefault="00000000">
            <w:pPr>
              <w:numPr>
                <w:ilvl w:val="0"/>
                <w:numId w:val="1"/>
              </w:numPr>
              <w:spacing w:after="0"/>
            </w:pPr>
            <w:r>
              <w:t xml:space="preserve">This item does not apply to the original records that remain in the agency and are subject to existing agency-specific authorities. Additionally, GRS 4.5 cannot be applied to the original record based solely on </w:t>
            </w:r>
            <w:proofErr w:type="gramStart"/>
            <w:r>
              <w:t>creation</w:t>
            </w:r>
            <w:proofErr w:type="gramEnd"/>
            <w:r>
              <w:t xml:space="preserve"> of this copy.</w:t>
            </w:r>
          </w:p>
          <w:p w14:paraId="1902E04C" w14:textId="77777777" w:rsidR="009C3B8D" w:rsidRDefault="009C3B8D">
            <w:pPr>
              <w:spacing w:after="0" w:line="240" w:lineRule="auto"/>
              <w:ind w:left="328"/>
            </w:pPr>
          </w:p>
          <w:p w14:paraId="1E638A7E" w14:textId="77777777" w:rsidR="009C3B8D" w:rsidRDefault="00000000">
            <w:pPr>
              <w:spacing w:after="0" w:line="240" w:lineRule="auto"/>
              <w:rPr>
                <w:i/>
              </w:rPr>
            </w:pPr>
            <w:r>
              <w:rPr>
                <w:b/>
              </w:rPr>
              <w:t>Legal Citations:</w:t>
            </w:r>
            <w:r>
              <w:t xml:space="preserve"> 44 U.S.C. 2107 note</w:t>
            </w:r>
          </w:p>
          <w:p w14:paraId="6BC4D72B" w14:textId="77777777" w:rsidR="009C3B8D" w:rsidRDefault="009C3B8D">
            <w:pPr>
              <w:tabs>
                <w:tab w:val="left" w:pos="0"/>
                <w:tab w:val="left" w:pos="1440"/>
                <w:tab w:val="left" w:pos="3420"/>
              </w:tabs>
              <w:spacing w:after="0" w:line="240" w:lineRule="auto"/>
              <w:ind w:right="180"/>
            </w:pPr>
          </w:p>
        </w:tc>
        <w:tc>
          <w:tcPr>
            <w:tcW w:w="2790" w:type="dxa"/>
          </w:tcPr>
          <w:p w14:paraId="797F6CD3" w14:textId="77777777" w:rsidR="009C3B8D" w:rsidRDefault="00000000">
            <w:pPr>
              <w:spacing w:after="0" w:line="240" w:lineRule="auto"/>
            </w:pPr>
            <w:r>
              <w:rPr>
                <w:b/>
              </w:rPr>
              <w:t>PERMANENT.</w:t>
            </w:r>
            <w:r>
              <w:t xml:space="preserve"> Transfer to the National Archives as required by statute.</w:t>
            </w:r>
          </w:p>
        </w:tc>
        <w:tc>
          <w:tcPr>
            <w:tcW w:w="1620" w:type="dxa"/>
          </w:tcPr>
          <w:p w14:paraId="287EE38C" w14:textId="77777777" w:rsidR="009C3B8D" w:rsidRDefault="00000000">
            <w:pPr>
              <w:spacing w:after="0" w:line="240" w:lineRule="auto"/>
            </w:pPr>
            <w:r>
              <w:t>DAA-GRS-2024-0002-0001</w:t>
            </w:r>
          </w:p>
        </w:tc>
      </w:tr>
    </w:tbl>
    <w:p w14:paraId="5151ED03" w14:textId="77777777" w:rsidR="009C3B8D" w:rsidRDefault="009C3B8D">
      <w:pPr>
        <w:rPr>
          <w:b/>
        </w:rPr>
      </w:pPr>
    </w:p>
    <w:sectPr w:rsidR="009C3B8D">
      <w:headerReference w:type="default" r:id="rId8"/>
      <w:footerReference w:type="default" r:id="rId9"/>
      <w:headerReference w:type="first" r:id="rId10"/>
      <w:footerReference w:type="first" r:id="rId11"/>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B19FE" w14:textId="77777777" w:rsidR="00FE0B8D" w:rsidRDefault="00FE0B8D">
      <w:pPr>
        <w:spacing w:after="0" w:line="240" w:lineRule="auto"/>
      </w:pPr>
      <w:r>
        <w:separator/>
      </w:r>
    </w:p>
  </w:endnote>
  <w:endnote w:type="continuationSeparator" w:id="0">
    <w:p w14:paraId="3CEC6CEF" w14:textId="77777777" w:rsidR="00FE0B8D" w:rsidRDefault="00FE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C46D" w14:textId="77777777" w:rsidR="009C3B8D"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9006" w14:textId="77777777" w:rsidR="009C3B8D"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8C20981" w14:textId="77777777" w:rsidR="009C3B8D" w:rsidRDefault="009C3B8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0F81" w14:textId="77777777" w:rsidR="00FE0B8D" w:rsidRDefault="00FE0B8D">
      <w:pPr>
        <w:spacing w:after="0" w:line="240" w:lineRule="auto"/>
      </w:pPr>
      <w:r>
        <w:separator/>
      </w:r>
    </w:p>
  </w:footnote>
  <w:footnote w:type="continuationSeparator" w:id="0">
    <w:p w14:paraId="3758A450" w14:textId="77777777" w:rsidR="00FE0B8D" w:rsidRDefault="00FE0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B59E" w14:textId="77777777" w:rsidR="009C3B8D"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GRS </w:t>
    </w:r>
    <w:proofErr w:type="gramStart"/>
    <w:r>
      <w:rPr>
        <w:color w:val="000000"/>
      </w:rPr>
      <w:t>0.0  [</w:t>
    </w:r>
    <w:proofErr w:type="gramEnd"/>
    <w:r>
      <w:rPr>
        <w:color w:val="000000"/>
      </w:rPr>
      <w:t xml:space="preserve">Title], page </w:t>
    </w:r>
    <w:r>
      <w:rPr>
        <w:color w:val="000000"/>
      </w:rPr>
      <w:fldChar w:fldCharType="begin"/>
    </w:r>
    <w:r>
      <w:rPr>
        <w:color w:val="000000"/>
      </w:rPr>
      <w:instrText>PAGE</w:instrText>
    </w:r>
    <w:r>
      <w:rPr>
        <w:color w:val="000000"/>
      </w:rPr>
      <w:fldChar w:fldCharType="separate"/>
    </w:r>
    <w:r>
      <w:rPr>
        <w:color w:val="000000"/>
      </w:rPr>
      <w:fldChar w:fldCharType="end"/>
    </w:r>
  </w:p>
  <w:p w14:paraId="5D3D5161" w14:textId="77777777" w:rsidR="009C3B8D" w:rsidRDefault="009C3B8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76AA" w14:textId="77777777" w:rsidR="009C3B8D" w:rsidRDefault="00000000">
    <w:pPr>
      <w:pBdr>
        <w:top w:val="nil"/>
        <w:left w:val="nil"/>
        <w:bottom w:val="nil"/>
        <w:right w:val="nil"/>
        <w:between w:val="nil"/>
      </w:pBdr>
      <w:tabs>
        <w:tab w:val="center" w:pos="4680"/>
        <w:tab w:val="right" w:pos="9360"/>
        <w:tab w:val="right" w:pos="14400"/>
      </w:tabs>
      <w:spacing w:after="0" w:line="240" w:lineRule="auto"/>
      <w:rPr>
        <w:b/>
        <w:color w:val="000000"/>
        <w:sz w:val="20"/>
        <w:szCs w:val="20"/>
      </w:rPr>
    </w:pPr>
    <w:r>
      <w:rPr>
        <w:b/>
        <w:color w:val="000000"/>
        <w:sz w:val="20"/>
        <w:szCs w:val="20"/>
      </w:rPr>
      <w:t>Transmittal No. 36</w:t>
    </w:r>
    <w:r>
      <w:rPr>
        <w:b/>
        <w:color w:val="000000"/>
        <w:sz w:val="20"/>
        <w:szCs w:val="20"/>
      </w:rPr>
      <w:tab/>
    </w:r>
    <w:r>
      <w:rPr>
        <w:b/>
        <w:color w:val="000000"/>
        <w:sz w:val="20"/>
        <w:szCs w:val="20"/>
      </w:rPr>
      <w:tab/>
    </w:r>
    <w:r>
      <w:rPr>
        <w:b/>
        <w:color w:val="000000"/>
        <w:sz w:val="20"/>
        <w:szCs w:val="20"/>
      </w:rPr>
      <w:tab/>
      <w:t>General Records Schedule 6.7</w:t>
    </w:r>
  </w:p>
  <w:p w14:paraId="475C43CE" w14:textId="77777777" w:rsidR="009C3B8D" w:rsidRDefault="00000000">
    <w:pPr>
      <w:pBdr>
        <w:top w:val="nil"/>
        <w:left w:val="nil"/>
        <w:bottom w:val="nil"/>
        <w:right w:val="nil"/>
        <w:between w:val="nil"/>
      </w:pBdr>
      <w:tabs>
        <w:tab w:val="center" w:pos="4680"/>
        <w:tab w:val="right" w:pos="9360"/>
      </w:tabs>
      <w:spacing w:after="0" w:line="240" w:lineRule="auto"/>
      <w:rPr>
        <w:b/>
        <w:color w:val="000000"/>
        <w:sz w:val="20"/>
        <w:szCs w:val="20"/>
      </w:rPr>
    </w:pPr>
    <w:r>
      <w:rPr>
        <w:b/>
        <w:sz w:val="20"/>
        <w:szCs w:val="20"/>
      </w:rPr>
      <w:t>August</w:t>
    </w:r>
    <w:r>
      <w:rPr>
        <w:b/>
        <w:color w:val="000000"/>
        <w:sz w:val="20"/>
        <w:szCs w:val="20"/>
      </w:rPr>
      <w:t xml:space="preserve"> 2024</w:t>
    </w:r>
  </w:p>
  <w:p w14:paraId="39A2185E" w14:textId="77777777" w:rsidR="009C3B8D" w:rsidRDefault="009C3B8D">
    <w:pPr>
      <w:pBdr>
        <w:top w:val="nil"/>
        <w:left w:val="nil"/>
        <w:bottom w:val="nil"/>
        <w:right w:val="nil"/>
        <w:between w:val="nil"/>
      </w:pBdr>
      <w:tabs>
        <w:tab w:val="center" w:pos="4680"/>
        <w:tab w:val="right" w:pos="9360"/>
      </w:tabs>
      <w:spacing w:after="0" w:line="240" w:lineRule="auto"/>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F3361"/>
    <w:multiLevelType w:val="multilevel"/>
    <w:tmpl w:val="A28E8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11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8D"/>
    <w:rsid w:val="002E2537"/>
    <w:rsid w:val="00354FFF"/>
    <w:rsid w:val="005377ED"/>
    <w:rsid w:val="009C3B8D"/>
    <w:rsid w:val="00AE496B"/>
    <w:rsid w:val="00FE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C34AE"/>
  <w15:docId w15:val="{CC796FB7-33A6-4ABE-A51E-04948361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F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172"/>
    <w:pPr>
      <w:ind w:left="720"/>
      <w:contextualSpacing/>
    </w:pPr>
  </w:style>
  <w:style w:type="paragraph" w:styleId="FootnoteText">
    <w:name w:val="footnote text"/>
    <w:basedOn w:val="Normal"/>
    <w:link w:val="FootnoteTextChar"/>
    <w:uiPriority w:val="99"/>
    <w:semiHidden/>
    <w:unhideWhenUsed/>
    <w:rsid w:val="008F3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172"/>
    <w:rPr>
      <w:sz w:val="20"/>
      <w:szCs w:val="20"/>
    </w:rPr>
  </w:style>
  <w:style w:type="character" w:styleId="FootnoteReference">
    <w:name w:val="footnote reference"/>
    <w:basedOn w:val="DefaultParagraphFont"/>
    <w:uiPriority w:val="99"/>
    <w:semiHidden/>
    <w:unhideWhenUsed/>
    <w:rsid w:val="008F3172"/>
    <w:rPr>
      <w:vertAlign w:val="superscript"/>
    </w:rPr>
  </w:style>
  <w:style w:type="paragraph" w:styleId="CommentText">
    <w:name w:val="annotation text"/>
    <w:basedOn w:val="Normal"/>
    <w:link w:val="CommentTextChar"/>
    <w:uiPriority w:val="99"/>
    <w:semiHidden/>
    <w:unhideWhenUsed/>
    <w:rsid w:val="00783CD5"/>
    <w:rPr>
      <w:sz w:val="20"/>
      <w:szCs w:val="20"/>
    </w:rPr>
  </w:style>
  <w:style w:type="character" w:customStyle="1" w:styleId="CommentTextChar">
    <w:name w:val="Comment Text Char"/>
    <w:basedOn w:val="DefaultParagraphFont"/>
    <w:link w:val="CommentText"/>
    <w:uiPriority w:val="99"/>
    <w:semiHidden/>
    <w:rsid w:val="00783CD5"/>
  </w:style>
  <w:style w:type="paragraph" w:styleId="CommentSubject">
    <w:name w:val="annotation subject"/>
    <w:basedOn w:val="CommentText"/>
    <w:next w:val="CommentText"/>
    <w:link w:val="CommentSubjectChar"/>
    <w:uiPriority w:val="99"/>
    <w:semiHidden/>
    <w:unhideWhenUsed/>
    <w:rsid w:val="00783CD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83CD5"/>
    <w:rPr>
      <w:rFonts w:ascii="Times New Roman" w:eastAsia="Times New Roman" w:hAnsi="Times New Roman"/>
      <w:b/>
      <w:bCs/>
    </w:rPr>
  </w:style>
  <w:style w:type="character" w:styleId="Strong">
    <w:name w:val="Strong"/>
    <w:basedOn w:val="DefaultParagraphFont"/>
    <w:uiPriority w:val="22"/>
    <w:qFormat/>
    <w:rsid w:val="00552BD0"/>
    <w:rPr>
      <w:b/>
      <w:bCs/>
    </w:rPr>
  </w:style>
  <w:style w:type="character" w:styleId="Emphasis">
    <w:name w:val="Emphasis"/>
    <w:basedOn w:val="DefaultParagraphFont"/>
    <w:uiPriority w:val="20"/>
    <w:qFormat/>
    <w:rsid w:val="00B804F9"/>
    <w:rPr>
      <w:i/>
      <w:iCs/>
    </w:rPr>
  </w:style>
  <w:style w:type="character" w:styleId="CommentReference">
    <w:name w:val="annotation reference"/>
    <w:basedOn w:val="DefaultParagraphFont"/>
    <w:uiPriority w:val="99"/>
    <w:semiHidden/>
    <w:unhideWhenUsed/>
    <w:rsid w:val="001F2529"/>
    <w:rPr>
      <w:sz w:val="16"/>
      <w:szCs w:val="16"/>
    </w:rPr>
  </w:style>
  <w:style w:type="paragraph" w:styleId="BalloonText">
    <w:name w:val="Balloon Text"/>
    <w:basedOn w:val="Normal"/>
    <w:link w:val="BalloonTextChar"/>
    <w:uiPriority w:val="99"/>
    <w:semiHidden/>
    <w:unhideWhenUsed/>
    <w:rsid w:val="001F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529"/>
    <w:rPr>
      <w:rFonts w:ascii="Tahoma" w:hAnsi="Tahoma" w:cs="Tahoma"/>
      <w:sz w:val="16"/>
      <w:szCs w:val="16"/>
    </w:rPr>
  </w:style>
  <w:style w:type="paragraph" w:customStyle="1" w:styleId="Blockquote">
    <w:name w:val="Blockquote"/>
    <w:basedOn w:val="Normal"/>
    <w:uiPriority w:val="99"/>
    <w:rsid w:val="006849C7"/>
    <w:pPr>
      <w:spacing w:before="100" w:after="100" w:line="240" w:lineRule="auto"/>
      <w:ind w:left="360" w:right="360"/>
    </w:pPr>
    <w:rPr>
      <w:rFonts w:ascii="Times New Roman" w:eastAsia="Times New Roman" w:hAnsi="Times New Roman"/>
      <w:sz w:val="24"/>
      <w:szCs w:val="24"/>
    </w:rPr>
  </w:style>
  <w:style w:type="character" w:customStyle="1" w:styleId="description">
    <w:name w:val="description"/>
    <w:basedOn w:val="DefaultParagraphFont"/>
    <w:rsid w:val="009B7A7A"/>
  </w:style>
  <w:style w:type="paragraph" w:customStyle="1" w:styleId="Default">
    <w:name w:val="Default"/>
    <w:rsid w:val="00614B49"/>
    <w:pPr>
      <w:autoSpaceDE w:val="0"/>
      <w:autoSpaceDN w:val="0"/>
      <w:adjustRightInd w:val="0"/>
    </w:pPr>
    <w:rPr>
      <w:rFonts w:ascii="Courier New" w:hAnsi="Courier New" w:cs="Courier New"/>
      <w:color w:val="000000"/>
      <w:sz w:val="24"/>
      <w:szCs w:val="24"/>
    </w:rPr>
  </w:style>
  <w:style w:type="paragraph" w:styleId="Header">
    <w:name w:val="header"/>
    <w:basedOn w:val="Normal"/>
    <w:link w:val="HeaderChar"/>
    <w:uiPriority w:val="99"/>
    <w:unhideWhenUsed/>
    <w:rsid w:val="003E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4C8"/>
    <w:rPr>
      <w:sz w:val="22"/>
      <w:szCs w:val="22"/>
    </w:rPr>
  </w:style>
  <w:style w:type="paragraph" w:styleId="Footer">
    <w:name w:val="footer"/>
    <w:basedOn w:val="Normal"/>
    <w:link w:val="FooterChar"/>
    <w:uiPriority w:val="99"/>
    <w:unhideWhenUsed/>
    <w:rsid w:val="003E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4C8"/>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5" w:type="dxa"/>
        <w:bottom w:w="43" w:type="dxa"/>
        <w:right w:w="115" w:type="dxa"/>
      </w:tblCellMar>
    </w:tblPr>
  </w:style>
  <w:style w:type="table" w:customStyle="1" w:styleId="a0">
    <w:basedOn w:val="TableNormal"/>
    <w:tblPr>
      <w:tblStyleRowBandSize w:val="1"/>
      <w:tblStyleColBandSize w:val="1"/>
      <w:tblCellMar>
        <w:top w:w="43" w:type="dxa"/>
        <w:left w:w="115" w:type="dxa"/>
        <w:bottom w:w="43" w:type="dxa"/>
        <w:right w:w="115" w:type="dxa"/>
      </w:tblCellMar>
    </w:tblPr>
  </w:style>
  <w:style w:type="table" w:customStyle="1" w:styleId="a1">
    <w:basedOn w:val="TableNormal"/>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Rh9wFxGcQVZCUXQMpk32UqQCw==">CgMxLjA4AHIhMUpncG0wci1weEROSXFGaHB4dUl5dWlQam5pdWI0NDZi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1051</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6.7:  Special Collections Required by Statute</dc:title>
  <dc:creator>National Archives and Records Administration</dc:creator>
  <cp:lastModifiedBy>Katherene Kim</cp:lastModifiedBy>
  <cp:revision>4</cp:revision>
  <dcterms:created xsi:type="dcterms:W3CDTF">2024-07-30T16:07:00Z</dcterms:created>
  <dcterms:modified xsi:type="dcterms:W3CDTF">2024-07-30T16:08:00Z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a41e8287491e060468c97be5b60ea714e8db5af6cdb999274d9d94f76a195aee</vt:lpwstr>
  </property>
</Properties>
</file>