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0BE8D" w14:textId="77777777" w:rsidR="00254B77" w:rsidRDefault="0024151D" w:rsidP="00B51EAA">
      <w:pPr>
        <w:spacing w:after="0" w:line="240" w:lineRule="auto"/>
        <w:ind w:right="90"/>
        <w:jc w:val="center"/>
      </w:pPr>
      <w:r>
        <w:rPr>
          <w:b/>
          <w:sz w:val="36"/>
          <w:szCs w:val="36"/>
        </w:rPr>
        <w:t>GENERAL RECORDS SCHEDULE 6.3:  Information Technology Records</w:t>
      </w:r>
    </w:p>
    <w:p w14:paraId="11FE0159" w14:textId="77777777" w:rsidR="00254B77" w:rsidRDefault="00254B77">
      <w:pPr>
        <w:spacing w:after="0" w:line="240" w:lineRule="auto"/>
      </w:pPr>
    </w:p>
    <w:p w14:paraId="58866A41" w14:textId="228DF76F" w:rsidR="00254B77" w:rsidRDefault="0024151D">
      <w:pPr>
        <w:spacing w:after="0" w:line="240" w:lineRule="auto"/>
      </w:pPr>
      <w:r>
        <w:t xml:space="preserve">This schedule covers records </w:t>
      </w:r>
      <w:r w:rsidR="00782954">
        <w:t>about</w:t>
      </w:r>
      <w:r>
        <w:t xml:space="preserve"> Federal agency Information Technology (IT) program planning</w:t>
      </w:r>
      <w:r w:rsidR="00782954">
        <w:t>, which includes</w:t>
      </w:r>
      <w:r>
        <w:t xml:space="preserve"> </w:t>
      </w:r>
      <w:r w:rsidR="00782954">
        <w:t>designing and operating</w:t>
      </w:r>
      <w:r>
        <w:t xml:space="preserve"> major </w:t>
      </w:r>
      <w:r w:rsidR="00782954">
        <w:t>IT</w:t>
      </w:r>
      <w:r>
        <w:t xml:space="preserve"> management processes; acquir</w:t>
      </w:r>
      <w:r w:rsidR="00782954">
        <w:t>ing</w:t>
      </w:r>
      <w:r>
        <w:t xml:space="preserve"> and manag</w:t>
      </w:r>
      <w:r w:rsidR="00782954">
        <w:t>ing</w:t>
      </w:r>
      <w:r>
        <w:t xml:space="preserve"> IT capital investments; monitor</w:t>
      </w:r>
      <w:r w:rsidR="00782954">
        <w:t>ing</w:t>
      </w:r>
      <w:r>
        <w:t xml:space="preserve"> IT program performance; and devel</w:t>
      </w:r>
      <w:r w:rsidR="00E16B1A">
        <w:t>op</w:t>
      </w:r>
      <w:r w:rsidR="00782954">
        <w:t>ing</w:t>
      </w:r>
      <w:r w:rsidR="00E16B1A">
        <w:t xml:space="preserve"> and maintain</w:t>
      </w:r>
      <w:r w:rsidR="00782954">
        <w:t>ing</w:t>
      </w:r>
      <w:r w:rsidR="00E16B1A">
        <w:t xml:space="preserve"> an</w:t>
      </w:r>
      <w:r>
        <w:t xml:space="preserve"> agency’s IT architecture.</w:t>
      </w:r>
    </w:p>
    <w:p w14:paraId="19725EF9" w14:textId="77777777" w:rsidR="00254B77" w:rsidRDefault="00254B77">
      <w:pPr>
        <w:spacing w:after="0" w:line="240" w:lineRule="auto"/>
      </w:pPr>
    </w:p>
    <w:p w14:paraId="53B239AB" w14:textId="4649384A" w:rsidR="00254B77" w:rsidRDefault="0024151D">
      <w:pPr>
        <w:spacing w:after="0" w:line="240" w:lineRule="auto"/>
      </w:pPr>
      <w:bookmarkStart w:id="0" w:name="_gjdgxs" w:colFirst="0" w:colLast="0"/>
      <w:bookmarkEnd w:id="0"/>
      <w:r>
        <w:t xml:space="preserve">This schedule does not include records of the Office of Management and Budget (OMB) documenting OMB’s oversight role relating to Government-wide </w:t>
      </w:r>
      <w:r w:rsidR="001F28B6">
        <w:t xml:space="preserve">information resources management and </w:t>
      </w:r>
      <w:r w:rsidR="006E2E45">
        <w:t xml:space="preserve">IT </w:t>
      </w:r>
      <w:r>
        <w:t>spending.  These records are scheduled by an OMB-specific schedule.</w:t>
      </w:r>
    </w:p>
    <w:p w14:paraId="775B2C56" w14:textId="77777777" w:rsidR="00254B77" w:rsidRDefault="00254B77">
      <w:pPr>
        <w:spacing w:after="0" w:line="240" w:lineRule="auto"/>
      </w:pPr>
    </w:p>
    <w:p w14:paraId="7FC0C990" w14:textId="7E5AE9E9" w:rsidR="00254B77" w:rsidRDefault="0024151D">
      <w:pPr>
        <w:spacing w:after="0" w:line="240" w:lineRule="auto"/>
      </w:pPr>
      <w:r>
        <w:t>Related records are covered elsewhere in the GRS.  IT records are covered in GRS 3.1</w:t>
      </w:r>
      <w:r w:rsidR="00E0372A">
        <w:t>,</w:t>
      </w:r>
      <w:r>
        <w:t xml:space="preserve"> General Technology Management</w:t>
      </w:r>
      <w:r w:rsidR="00E0372A">
        <w:t>,</w:t>
      </w:r>
      <w:r>
        <w:t xml:space="preserve"> and 3.2</w:t>
      </w:r>
      <w:r w:rsidR="00E0372A">
        <w:t>,</w:t>
      </w:r>
      <w:r>
        <w:t xml:space="preserve"> Informatio</w:t>
      </w:r>
      <w:r w:rsidR="00E16B1A">
        <w:t>n Systems Security Records.</w:t>
      </w:r>
    </w:p>
    <w:p w14:paraId="22018FED" w14:textId="77777777" w:rsidR="00254B77" w:rsidRDefault="00254B77">
      <w:pPr>
        <w:spacing w:after="0" w:line="240" w:lineRule="auto"/>
      </w:pPr>
    </w:p>
    <w:tbl>
      <w:tblPr>
        <w:tblStyle w:val="a"/>
        <w:tblpPr w:leftFromText="180" w:rightFromText="180" w:vertAnchor="text" w:tblpY="1"/>
        <w:tblOverlap w:val="never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6"/>
        <w:gridCol w:w="9805"/>
        <w:gridCol w:w="2520"/>
        <w:gridCol w:w="1260"/>
      </w:tblGrid>
      <w:tr w:rsidR="00254B77" w14:paraId="34CB678E" w14:textId="77777777" w:rsidTr="00B51EAA">
        <w:tc>
          <w:tcPr>
            <w:tcW w:w="720" w:type="dxa"/>
            <w:gridSpan w:val="2"/>
            <w:shd w:val="clear" w:color="auto" w:fill="B6DDE8"/>
          </w:tcPr>
          <w:p w14:paraId="30FB3F41" w14:textId="77777777" w:rsidR="00254B77" w:rsidRDefault="0024151D" w:rsidP="00B85AB8">
            <w:pPr>
              <w:spacing w:after="0"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9805" w:type="dxa"/>
            <w:shd w:val="clear" w:color="auto" w:fill="B6DDE8"/>
          </w:tcPr>
          <w:p w14:paraId="31B67762" w14:textId="77777777" w:rsidR="00254B77" w:rsidRDefault="0024151D" w:rsidP="00B85AB8">
            <w:pPr>
              <w:spacing w:after="0" w:line="240" w:lineRule="auto"/>
            </w:pPr>
            <w:r>
              <w:rPr>
                <w:b/>
              </w:rPr>
              <w:t>Records Description</w:t>
            </w:r>
          </w:p>
        </w:tc>
        <w:tc>
          <w:tcPr>
            <w:tcW w:w="2520" w:type="dxa"/>
            <w:shd w:val="clear" w:color="auto" w:fill="B6DDE8"/>
          </w:tcPr>
          <w:p w14:paraId="400EAB1D" w14:textId="77777777" w:rsidR="00254B77" w:rsidRDefault="0024151D" w:rsidP="00B85AB8">
            <w:pPr>
              <w:spacing w:after="0" w:line="240" w:lineRule="auto"/>
              <w:jc w:val="center"/>
            </w:pPr>
            <w:r>
              <w:rPr>
                <w:b/>
              </w:rPr>
              <w:t>Disposition Instruction</w:t>
            </w:r>
          </w:p>
        </w:tc>
        <w:tc>
          <w:tcPr>
            <w:tcW w:w="1260" w:type="dxa"/>
            <w:shd w:val="clear" w:color="auto" w:fill="B6DDE8"/>
          </w:tcPr>
          <w:p w14:paraId="0DC76070" w14:textId="77777777" w:rsidR="00254B77" w:rsidRDefault="0024151D" w:rsidP="00B85AB8">
            <w:pPr>
              <w:spacing w:after="0" w:line="240" w:lineRule="auto"/>
              <w:jc w:val="center"/>
            </w:pPr>
            <w:r>
              <w:rPr>
                <w:b/>
              </w:rPr>
              <w:t>Disposition Authority</w:t>
            </w:r>
          </w:p>
        </w:tc>
      </w:tr>
      <w:tr w:rsidR="00254B77" w14:paraId="2D6D846A" w14:textId="77777777" w:rsidTr="00B51EAA">
        <w:tc>
          <w:tcPr>
            <w:tcW w:w="714" w:type="dxa"/>
          </w:tcPr>
          <w:p w14:paraId="7A507545" w14:textId="77777777" w:rsidR="00254B77" w:rsidRPr="005C0E47" w:rsidRDefault="0024151D" w:rsidP="00B85AB8">
            <w:pPr>
              <w:spacing w:after="0" w:line="240" w:lineRule="auto"/>
            </w:pPr>
            <w:r w:rsidRPr="005C0E47">
              <w:t>010</w:t>
            </w:r>
          </w:p>
        </w:tc>
        <w:tc>
          <w:tcPr>
            <w:tcW w:w="9811" w:type="dxa"/>
            <w:gridSpan w:val="2"/>
          </w:tcPr>
          <w:p w14:paraId="7BAFCB3A" w14:textId="5A1A6B11" w:rsidR="00254B77" w:rsidRDefault="009F6072" w:rsidP="00B85AB8">
            <w:pPr>
              <w:tabs>
                <w:tab w:val="left" w:pos="0"/>
                <w:tab w:val="left" w:pos="1440"/>
                <w:tab w:val="left" w:pos="3420"/>
              </w:tabs>
              <w:spacing w:after="0" w:line="240" w:lineRule="auto"/>
              <w:ind w:right="180"/>
            </w:pPr>
            <w:r>
              <w:rPr>
                <w:b/>
              </w:rPr>
              <w:t>Information T</w:t>
            </w:r>
            <w:r w:rsidR="008E4707">
              <w:rPr>
                <w:b/>
              </w:rPr>
              <w:t xml:space="preserve">echnology </w:t>
            </w:r>
            <w:r w:rsidR="003826FA">
              <w:rPr>
                <w:b/>
              </w:rPr>
              <w:t xml:space="preserve">program and capital investment planning </w:t>
            </w:r>
            <w:r w:rsidR="0024151D">
              <w:rPr>
                <w:b/>
              </w:rPr>
              <w:t>records.</w:t>
            </w:r>
          </w:p>
          <w:p w14:paraId="22147751" w14:textId="4C1F6654" w:rsidR="00254B77" w:rsidRDefault="002C6AD6" w:rsidP="00E54422">
            <w:pPr>
              <w:spacing w:after="0" w:line="240" w:lineRule="auto"/>
              <w:ind w:left="336"/>
            </w:pPr>
            <w:r>
              <w:t xml:space="preserve">Records </w:t>
            </w:r>
            <w:r w:rsidR="0024151D">
              <w:t>of agency IT program</w:t>
            </w:r>
            <w:r w:rsidR="00931EE2">
              <w:t xml:space="preserve"> development</w:t>
            </w:r>
            <w:r w:rsidR="0024151D">
              <w:t xml:space="preserve"> and capital investment planning that</w:t>
            </w:r>
            <w:r w:rsidR="00931EE2">
              <w:t xml:space="preserve"> document goals</w:t>
            </w:r>
            <w:r w:rsidR="00AF09C0">
              <w:t xml:space="preserve"> and</w:t>
            </w:r>
            <w:r w:rsidR="00931EE2">
              <w:t xml:space="preserve"> milestones</w:t>
            </w:r>
            <w:r w:rsidR="00AF09C0">
              <w:t xml:space="preserve"> to achieve them;</w:t>
            </w:r>
            <w:r w:rsidR="00931EE2">
              <w:t xml:space="preserve"> </w:t>
            </w:r>
            <w:r w:rsidR="00AF09C0">
              <w:t xml:space="preserve">planning principles and activities; </w:t>
            </w:r>
            <w:r w:rsidR="00931EE2">
              <w:t>performance</w:t>
            </w:r>
            <w:r w:rsidR="00AF09C0">
              <w:t xml:space="preserve"> and evaluation</w:t>
            </w:r>
            <w:r w:rsidR="00931EE2">
              <w:t xml:space="preserve"> measures</w:t>
            </w:r>
            <w:r w:rsidR="00AF09C0">
              <w:t xml:space="preserve"> such as TechStat reviews; and</w:t>
            </w:r>
            <w:r w:rsidR="00931EE2">
              <w:t xml:space="preserve"> compliance with </w:t>
            </w:r>
            <w:r w:rsidR="00AF09C0">
              <w:t xml:space="preserve">requirements such as OMB Circular A-130, the </w:t>
            </w:r>
            <w:r w:rsidR="00AF09C0" w:rsidRPr="00435D79">
              <w:t>Federal Information Technology Acquisition Reform Act</w:t>
            </w:r>
            <w:r w:rsidR="00AF09C0">
              <w:t>, and other laws.  Includes</w:t>
            </w:r>
            <w:r w:rsidR="0024151D">
              <w:t>:</w:t>
            </w:r>
          </w:p>
          <w:p w14:paraId="1B729BA5" w14:textId="53710755" w:rsidR="00731B06" w:rsidRDefault="0024151D" w:rsidP="00E54422">
            <w:pPr>
              <w:numPr>
                <w:ilvl w:val="0"/>
                <w:numId w:val="3"/>
              </w:numPr>
              <w:spacing w:after="0" w:line="240" w:lineRule="auto"/>
              <w:ind w:left="696" w:hanging="360"/>
              <w:contextualSpacing/>
            </w:pPr>
            <w:r>
              <w:t xml:space="preserve">strategic and tactical plans </w:t>
            </w:r>
          </w:p>
          <w:p w14:paraId="08C6E6CF" w14:textId="3B5A26FB" w:rsidR="002B7E89" w:rsidRDefault="0024151D" w:rsidP="00E54422">
            <w:pPr>
              <w:numPr>
                <w:ilvl w:val="0"/>
                <w:numId w:val="3"/>
              </w:numPr>
              <w:spacing w:after="0" w:line="240" w:lineRule="auto"/>
              <w:ind w:left="696" w:hanging="360"/>
              <w:contextualSpacing/>
            </w:pPr>
            <w:r>
              <w:t xml:space="preserve">records </w:t>
            </w:r>
            <w:r w:rsidR="00973F7B">
              <w:t>of</w:t>
            </w:r>
            <w:r w:rsidR="00973F7B" w:rsidRPr="00731B06">
              <w:t xml:space="preserve"> internal agency governance boards</w:t>
            </w:r>
            <w:r w:rsidR="00973F7B">
              <w:t xml:space="preserve"> </w:t>
            </w:r>
            <w:r>
              <w:t>supporting formally issued plans</w:t>
            </w:r>
            <w:r w:rsidR="00E0372A">
              <w:t>, including</w:t>
            </w:r>
            <w:r w:rsidR="00AF09C0">
              <w:t xml:space="preserve"> comments, </w:t>
            </w:r>
            <w:r>
              <w:t>concurrence</w:t>
            </w:r>
            <w:r w:rsidR="00AF09C0">
              <w:t>s</w:t>
            </w:r>
            <w:r>
              <w:t xml:space="preserve">, clearances, </w:t>
            </w:r>
            <w:r w:rsidR="00973F7B">
              <w:t xml:space="preserve">and </w:t>
            </w:r>
            <w:r>
              <w:t>justifications</w:t>
            </w:r>
          </w:p>
          <w:p w14:paraId="1B927DFF" w14:textId="0C9633DE" w:rsidR="002B7E89" w:rsidRDefault="002B7E89" w:rsidP="00E54422">
            <w:pPr>
              <w:numPr>
                <w:ilvl w:val="0"/>
                <w:numId w:val="3"/>
              </w:numPr>
              <w:spacing w:after="0" w:line="240" w:lineRule="auto"/>
              <w:ind w:left="696" w:hanging="360"/>
              <w:contextualSpacing/>
            </w:pPr>
            <w:r>
              <w:t>r</w:t>
            </w:r>
            <w:r w:rsidRPr="002B7E89">
              <w:t xml:space="preserve">ecords maintained by committees, boards, task forces, conferences, or other IT advisory, governing, or policy bodies for which the </w:t>
            </w:r>
            <w:r w:rsidR="006E2E45">
              <w:t xml:space="preserve">Chief Information Officer (CIO) </w:t>
            </w:r>
            <w:r w:rsidRPr="002B7E89">
              <w:t>has sponsorship, leadership, or recordkeeping responsibilities</w:t>
            </w:r>
          </w:p>
          <w:p w14:paraId="62986014" w14:textId="77777777" w:rsidR="00254B77" w:rsidRDefault="0024151D" w:rsidP="00E54422">
            <w:pPr>
              <w:numPr>
                <w:ilvl w:val="0"/>
                <w:numId w:val="3"/>
              </w:numPr>
              <w:spacing w:after="0" w:line="240" w:lineRule="auto"/>
              <w:ind w:left="696" w:hanging="360"/>
              <w:contextualSpacing/>
            </w:pPr>
            <w:r>
              <w:t>reports and statistics documenting quantitative and qualitative performance measures, such as Government Performance and Results Act (GPRA) reporting</w:t>
            </w:r>
          </w:p>
          <w:p w14:paraId="09AB22A0" w14:textId="77777777" w:rsidR="000768C0" w:rsidRDefault="0024151D" w:rsidP="00E54422">
            <w:pPr>
              <w:numPr>
                <w:ilvl w:val="0"/>
                <w:numId w:val="3"/>
              </w:numPr>
              <w:spacing w:after="0" w:line="240" w:lineRule="auto"/>
              <w:ind w:left="696" w:hanging="360"/>
              <w:contextualSpacing/>
            </w:pPr>
            <w:r>
              <w:t>portfolio management records, including clearance and review</w:t>
            </w:r>
          </w:p>
          <w:p w14:paraId="7E9F255F" w14:textId="1843855F" w:rsidR="00876EE2" w:rsidRDefault="0024151D" w:rsidP="00E54422">
            <w:pPr>
              <w:numPr>
                <w:ilvl w:val="0"/>
                <w:numId w:val="3"/>
              </w:numPr>
              <w:spacing w:after="0" w:line="240" w:lineRule="auto"/>
              <w:ind w:left="696" w:hanging="360"/>
              <w:contextualSpacing/>
            </w:pPr>
            <w:r>
              <w:t>Reports on IT capital investme</w:t>
            </w:r>
            <w:r w:rsidR="00876EE2">
              <w:t xml:space="preserve">nts, such as </w:t>
            </w:r>
            <w:r w:rsidR="000768C0">
              <w:t xml:space="preserve">OMB Exhibit 300 </w:t>
            </w:r>
            <w:r w:rsidR="00876EE2" w:rsidRPr="00876EE2">
              <w:t>Major IT Business Cases</w:t>
            </w:r>
            <w:r w:rsidR="000768C0">
              <w:t xml:space="preserve"> (MITBCs) and IT Portfolio </w:t>
            </w:r>
            <w:r w:rsidR="00876EE2" w:rsidRPr="00876EE2">
              <w:t>Summaries</w:t>
            </w:r>
            <w:r w:rsidR="000768C0">
              <w:t xml:space="preserve"> (ITPS)</w:t>
            </w:r>
            <w:r w:rsidR="00876EE2" w:rsidRPr="00876EE2">
              <w:t>, including IT Dashboard Exhibit 300 MITBC submissions</w:t>
            </w:r>
          </w:p>
          <w:p w14:paraId="16CA2F5E" w14:textId="57E12518" w:rsidR="00731B06" w:rsidRDefault="0024151D" w:rsidP="00E54422">
            <w:pPr>
              <w:numPr>
                <w:ilvl w:val="0"/>
                <w:numId w:val="3"/>
              </w:numPr>
              <w:spacing w:after="0" w:line="240" w:lineRule="auto"/>
              <w:ind w:left="696" w:hanging="360"/>
              <w:contextualSpacing/>
            </w:pPr>
            <w:r>
              <w:t>business case</w:t>
            </w:r>
            <w:r w:rsidR="00973F7B">
              <w:t xml:space="preserve"> development, review</w:t>
            </w:r>
            <w:r w:rsidR="00E0372A">
              <w:t>,</w:t>
            </w:r>
            <w:r w:rsidR="00973F7B">
              <w:t xml:space="preserve"> and clearance record</w:t>
            </w:r>
            <w:r>
              <w:t xml:space="preserve">s </w:t>
            </w:r>
            <w:r w:rsidR="00973F7B">
              <w:t xml:space="preserve">regarding </w:t>
            </w:r>
            <w:r>
              <w:t xml:space="preserve">major investments, systems, acquisitions, or operational assets </w:t>
            </w:r>
          </w:p>
          <w:p w14:paraId="3A31A0FB" w14:textId="77777777" w:rsidR="00254B77" w:rsidRDefault="00254B77" w:rsidP="00B85AB8">
            <w:pPr>
              <w:spacing w:after="0" w:line="240" w:lineRule="auto"/>
            </w:pPr>
          </w:p>
          <w:p w14:paraId="1CF98664" w14:textId="78C0AFC1" w:rsidR="00254B77" w:rsidRDefault="0024151D" w:rsidP="00B85AB8">
            <w:pPr>
              <w:spacing w:after="0" w:line="240" w:lineRule="auto"/>
              <w:ind w:left="331"/>
            </w:pPr>
            <w:r>
              <w:rPr>
                <w:b/>
              </w:rPr>
              <w:t>Exclusion 1:</w:t>
            </w:r>
            <w:r>
              <w:t xml:space="preserve">  </w:t>
            </w:r>
            <w:r w:rsidR="00973F7B">
              <w:t>P</w:t>
            </w:r>
            <w:r>
              <w:t>olicy records generated by</w:t>
            </w:r>
            <w:r w:rsidR="007A4BC6">
              <w:t xml:space="preserve"> the CIO</w:t>
            </w:r>
            <w:r w:rsidR="006E2E45">
              <w:t xml:space="preserve"> </w:t>
            </w:r>
            <w:r w:rsidR="00345E5F">
              <w:t>(agencies must schedule these separately).</w:t>
            </w:r>
          </w:p>
          <w:p w14:paraId="1001926C" w14:textId="77777777" w:rsidR="0030026A" w:rsidRDefault="0030026A" w:rsidP="00B85AB8">
            <w:pPr>
              <w:spacing w:after="0" w:line="240" w:lineRule="auto"/>
              <w:ind w:left="331"/>
            </w:pPr>
          </w:p>
          <w:p w14:paraId="275AF3AE" w14:textId="79508677" w:rsidR="0030026A" w:rsidRDefault="0030026A" w:rsidP="00B85AB8">
            <w:pPr>
              <w:spacing w:after="0" w:line="240" w:lineRule="auto"/>
              <w:ind w:left="331"/>
            </w:pPr>
            <w:r w:rsidRPr="0030026A">
              <w:rPr>
                <w:b/>
              </w:rPr>
              <w:lastRenderedPageBreak/>
              <w:t>Exclusion</w:t>
            </w:r>
            <w:r>
              <w:rPr>
                <w:b/>
              </w:rPr>
              <w:t xml:space="preserve"> 2</w:t>
            </w:r>
            <w:r w:rsidRPr="0030026A">
              <w:rPr>
                <w:b/>
              </w:rPr>
              <w:t xml:space="preserve">: </w:t>
            </w:r>
            <w:r w:rsidRPr="0030026A">
              <w:t xml:space="preserve"> Records of Government-wide committees sponsored by CIOs, such as the Federal Chief Information Officers Council</w:t>
            </w:r>
            <w:r w:rsidR="00E0372A">
              <w:t xml:space="preserve"> (the agency with responsibility for convening the committee must schedule its records separately).</w:t>
            </w:r>
          </w:p>
          <w:p w14:paraId="2BA56F90" w14:textId="77777777" w:rsidR="00254B77" w:rsidRDefault="00254B77" w:rsidP="00B85AB8">
            <w:pPr>
              <w:spacing w:after="0" w:line="240" w:lineRule="auto"/>
            </w:pPr>
          </w:p>
          <w:p w14:paraId="04B5BADD" w14:textId="5C5D8EA4" w:rsidR="00254B77" w:rsidRDefault="0030026A" w:rsidP="00B85AB8">
            <w:pPr>
              <w:spacing w:after="0" w:line="240" w:lineRule="auto"/>
              <w:ind w:left="328"/>
            </w:pPr>
            <w:r>
              <w:rPr>
                <w:b/>
              </w:rPr>
              <w:t>Exclusion 3</w:t>
            </w:r>
            <w:r w:rsidR="0024151D">
              <w:rPr>
                <w:b/>
              </w:rPr>
              <w:t xml:space="preserve">:  </w:t>
            </w:r>
            <w:r w:rsidR="00345E5F">
              <w:t>S</w:t>
            </w:r>
            <w:r w:rsidR="008E045A">
              <w:t xml:space="preserve">ystem </w:t>
            </w:r>
            <w:r w:rsidR="0024151D">
              <w:t xml:space="preserve">data </w:t>
            </w:r>
            <w:r w:rsidR="008E045A">
              <w:t>or content</w:t>
            </w:r>
            <w:r w:rsidR="00345E5F">
              <w:t xml:space="preserve"> (agencies must schedule these separately)</w:t>
            </w:r>
            <w:r w:rsidR="0024151D">
              <w:t>.</w:t>
            </w:r>
            <w:r w:rsidR="00877BCB">
              <w:t xml:space="preserve"> </w:t>
            </w:r>
          </w:p>
          <w:p w14:paraId="4ACE51B4" w14:textId="77777777" w:rsidR="00254B77" w:rsidRDefault="00254B77" w:rsidP="00B85AB8">
            <w:pPr>
              <w:spacing w:after="0" w:line="240" w:lineRule="auto"/>
              <w:ind w:left="328"/>
            </w:pPr>
          </w:p>
          <w:p w14:paraId="682140AD" w14:textId="74714EB0" w:rsidR="00254B77" w:rsidRDefault="00E52D37" w:rsidP="00B85AB8">
            <w:pPr>
              <w:spacing w:after="0" w:line="240" w:lineRule="auto"/>
              <w:ind w:left="328"/>
            </w:pPr>
            <w:r>
              <w:rPr>
                <w:b/>
              </w:rPr>
              <w:t>Exclusion 4</w:t>
            </w:r>
            <w:r w:rsidR="0024151D">
              <w:rPr>
                <w:b/>
              </w:rPr>
              <w:t>:</w:t>
            </w:r>
            <w:r w:rsidR="008E045A">
              <w:t xml:space="preserve">  Systems development</w:t>
            </w:r>
            <w:r w:rsidR="0024151D">
              <w:t xml:space="preserve"> records </w:t>
            </w:r>
            <w:r>
              <w:t>(</w:t>
            </w:r>
            <w:r w:rsidR="0024151D">
              <w:t>GRS 3.1, General Technology Manage</w:t>
            </w:r>
            <w:r w:rsidR="006C33C3">
              <w:t>ment Records, item 011, System development r</w:t>
            </w:r>
            <w:r w:rsidR="0024151D">
              <w:t>ecords</w:t>
            </w:r>
            <w:r>
              <w:t>, covers these)</w:t>
            </w:r>
            <w:r w:rsidR="0024151D">
              <w:t>.</w:t>
            </w:r>
          </w:p>
          <w:p w14:paraId="36C1D044" w14:textId="77777777" w:rsidR="001A0D97" w:rsidRDefault="001A0D97" w:rsidP="00B85AB8">
            <w:pPr>
              <w:spacing w:after="0" w:line="240" w:lineRule="auto"/>
            </w:pPr>
          </w:p>
          <w:p w14:paraId="2065BEF0" w14:textId="705152E9" w:rsidR="00EF497F" w:rsidRDefault="00E52D37" w:rsidP="001268BA">
            <w:pPr>
              <w:spacing w:after="0" w:line="240" w:lineRule="auto"/>
              <w:ind w:left="328"/>
            </w:pPr>
            <w:r>
              <w:rPr>
                <w:b/>
              </w:rPr>
              <w:t>Exclusion 5</w:t>
            </w:r>
            <w:r w:rsidR="001A0D97" w:rsidRPr="008E045A">
              <w:rPr>
                <w:b/>
              </w:rPr>
              <w:t>:</w:t>
            </w:r>
            <w:r w:rsidR="001A0D97">
              <w:t xml:space="preserve">  </w:t>
            </w:r>
            <w:r w:rsidR="001A0D97" w:rsidRPr="001A0D97">
              <w:t xml:space="preserve">Records documenting system and operational level compliance with IT policies, directives, and plans </w:t>
            </w:r>
            <w:r>
              <w:t>(</w:t>
            </w:r>
            <w:r w:rsidR="001A0D97" w:rsidRPr="001A0D97">
              <w:t>GRS 3.1 General Technology Management</w:t>
            </w:r>
            <w:r w:rsidR="00BF0984">
              <w:t xml:space="preserve"> Records</w:t>
            </w:r>
            <w:r w:rsidR="001A0D97" w:rsidRPr="001A0D97">
              <w:t>, item 040</w:t>
            </w:r>
            <w:r w:rsidR="008E045A">
              <w:t xml:space="preserve">, </w:t>
            </w:r>
            <w:r w:rsidR="001A0D97" w:rsidRPr="001A0D97">
              <w:t>Information technology oversight and compliance records</w:t>
            </w:r>
            <w:r>
              <w:t>, covers these)</w:t>
            </w:r>
            <w:r w:rsidR="001A0D97" w:rsidRPr="001A0D97">
              <w:t>.</w:t>
            </w:r>
          </w:p>
        </w:tc>
        <w:tc>
          <w:tcPr>
            <w:tcW w:w="2520" w:type="dxa"/>
          </w:tcPr>
          <w:p w14:paraId="7A5AB4C8" w14:textId="0695B2D0" w:rsidR="00254B77" w:rsidRDefault="0024151D" w:rsidP="00A15FD0">
            <w:pPr>
              <w:spacing w:after="0" w:line="240" w:lineRule="auto"/>
            </w:pPr>
            <w:r>
              <w:rPr>
                <w:b/>
              </w:rPr>
              <w:lastRenderedPageBreak/>
              <w:t>Temporary.</w:t>
            </w:r>
            <w:r w:rsidR="00A15FD0">
              <w:t xml:space="preserve">  Destroy when 7 years old, </w:t>
            </w:r>
            <w:r>
              <w:t>but longer retention is authorized if required for business use.</w:t>
            </w:r>
          </w:p>
        </w:tc>
        <w:tc>
          <w:tcPr>
            <w:tcW w:w="1260" w:type="dxa"/>
          </w:tcPr>
          <w:p w14:paraId="04D65452" w14:textId="0F3C4C01" w:rsidR="00254B77" w:rsidRDefault="0024151D" w:rsidP="00B85AB8">
            <w:pPr>
              <w:spacing w:after="0" w:line="240" w:lineRule="auto"/>
            </w:pPr>
            <w:r>
              <w:t>DAA-GRS</w:t>
            </w:r>
            <w:r w:rsidR="00D569F4">
              <w:t>-2017-00</w:t>
            </w:r>
            <w:r w:rsidR="00170532">
              <w:t>09</w:t>
            </w:r>
            <w:r>
              <w:t>-0001</w:t>
            </w:r>
          </w:p>
        </w:tc>
      </w:tr>
      <w:tr w:rsidR="00254B77" w14:paraId="4B1D33BA" w14:textId="77777777" w:rsidTr="00B51EAA">
        <w:trPr>
          <w:trHeight w:val="2755"/>
        </w:trPr>
        <w:tc>
          <w:tcPr>
            <w:tcW w:w="720" w:type="dxa"/>
            <w:gridSpan w:val="2"/>
          </w:tcPr>
          <w:p w14:paraId="0CD4A27F" w14:textId="3A5814C7" w:rsidR="00254B77" w:rsidRPr="005C0E47" w:rsidRDefault="00FE78C0" w:rsidP="00B85AB8">
            <w:pPr>
              <w:spacing w:after="0" w:line="240" w:lineRule="auto"/>
              <w:jc w:val="center"/>
            </w:pPr>
            <w:r w:rsidRPr="005C0E47">
              <w:t>02</w:t>
            </w:r>
            <w:r w:rsidR="0024151D" w:rsidRPr="005C0E47">
              <w:t>0</w:t>
            </w:r>
          </w:p>
        </w:tc>
        <w:tc>
          <w:tcPr>
            <w:tcW w:w="9805" w:type="dxa"/>
          </w:tcPr>
          <w:p w14:paraId="546AAABE" w14:textId="77777777" w:rsidR="00254B77" w:rsidRDefault="0024151D" w:rsidP="00B85AB8">
            <w:pPr>
              <w:tabs>
                <w:tab w:val="left" w:pos="0"/>
                <w:tab w:val="left" w:pos="1440"/>
                <w:tab w:val="left" w:pos="3420"/>
              </w:tabs>
              <w:spacing w:after="0" w:line="240" w:lineRule="auto"/>
              <w:ind w:right="180"/>
            </w:pPr>
            <w:r>
              <w:rPr>
                <w:b/>
              </w:rPr>
              <w:t>Enterprise architecture records.</w:t>
            </w:r>
          </w:p>
          <w:p w14:paraId="1B25153D" w14:textId="214373A0" w:rsidR="00254B77" w:rsidRDefault="0024151D" w:rsidP="00B85AB8">
            <w:pPr>
              <w:spacing w:after="0" w:line="240" w:lineRule="auto"/>
              <w:ind w:left="328"/>
            </w:pPr>
            <w:r>
              <w:t>Records that describe the agency’s baseline or targ</w:t>
            </w:r>
            <w:r w:rsidR="004A41B4">
              <w:t>et enterprise</w:t>
            </w:r>
            <w:r w:rsidR="006D1FE2" w:rsidRPr="006D1FE2">
              <w:t xml:space="preserve"> or </w:t>
            </w:r>
            <w:r w:rsidR="00B536F8">
              <w:t xml:space="preserve">its </w:t>
            </w:r>
            <w:r w:rsidR="006D1FE2" w:rsidRPr="006D1FE2">
              <w:t xml:space="preserve">information </w:t>
            </w:r>
            <w:r w:rsidR="004A41B4">
              <w:t>architecture</w:t>
            </w:r>
            <w:r w:rsidR="00B536F8">
              <w:t>,</w:t>
            </w:r>
            <w:r w:rsidR="004A41B4">
              <w:t xml:space="preserve"> </w:t>
            </w:r>
            <w:r>
              <w:t>including technical reference models, diagrams, graphics, models, sequencing plans, and narratives.</w:t>
            </w:r>
            <w:r w:rsidR="003B1BF8">
              <w:t xml:space="preserve"> </w:t>
            </w:r>
          </w:p>
          <w:p w14:paraId="74D7DD14" w14:textId="77777777" w:rsidR="00254B77" w:rsidRDefault="00254B77" w:rsidP="00B85AB8">
            <w:pPr>
              <w:spacing w:after="0" w:line="240" w:lineRule="auto"/>
            </w:pPr>
          </w:p>
          <w:p w14:paraId="6A91EA02" w14:textId="3D32D269" w:rsidR="00254B77" w:rsidRDefault="006E2E45" w:rsidP="004759CA">
            <w:pPr>
              <w:spacing w:after="0" w:line="240" w:lineRule="auto"/>
              <w:ind w:left="331"/>
            </w:pPr>
            <w:r>
              <w:rPr>
                <w:b/>
              </w:rPr>
              <w:t>Exclusion</w:t>
            </w:r>
            <w:r w:rsidR="0024151D">
              <w:rPr>
                <w:b/>
              </w:rPr>
              <w:t>:</w:t>
            </w:r>
            <w:r w:rsidR="0024151D">
              <w:t xml:space="preserve">  Records of basic systems and services used to supply the agency and its staff with access to computers and data te</w:t>
            </w:r>
            <w:r>
              <w:t>lecommunications (</w:t>
            </w:r>
            <w:r w:rsidR="0024151D">
              <w:t>GRS 3.1</w:t>
            </w:r>
            <w:r w:rsidR="00BF0984">
              <w:t xml:space="preserve"> General Technology Management Records</w:t>
            </w:r>
            <w:r w:rsidR="0024151D">
              <w:t>, item 010</w:t>
            </w:r>
            <w:r>
              <w:t>, Infrastructure project r</w:t>
            </w:r>
            <w:r w:rsidR="00326742">
              <w:t>ecords</w:t>
            </w:r>
            <w:r>
              <w:t>, covers these)</w:t>
            </w:r>
            <w:r w:rsidR="0024151D">
              <w:t>.</w:t>
            </w:r>
          </w:p>
        </w:tc>
        <w:tc>
          <w:tcPr>
            <w:tcW w:w="2520" w:type="dxa"/>
          </w:tcPr>
          <w:p w14:paraId="7ACB3D2B" w14:textId="0BC469FD" w:rsidR="00254B77" w:rsidRDefault="0024151D" w:rsidP="00B536F8">
            <w:pPr>
              <w:spacing w:after="0" w:line="240" w:lineRule="auto"/>
            </w:pPr>
            <w:r>
              <w:rPr>
                <w:b/>
              </w:rPr>
              <w:t xml:space="preserve">Temporary. </w:t>
            </w:r>
            <w:r>
              <w:t xml:space="preserve"> Destroy 7 years after </w:t>
            </w:r>
            <w:r w:rsidR="00B536F8">
              <w:t xml:space="preserve">creating </w:t>
            </w:r>
            <w:r>
              <w:t>a new iteration of the enterprise</w:t>
            </w:r>
            <w:r w:rsidR="006D1FE2">
              <w:t xml:space="preserve"> </w:t>
            </w:r>
            <w:r w:rsidR="006D1FE2" w:rsidRPr="006D1FE2">
              <w:t>or information</w:t>
            </w:r>
            <w:r w:rsidR="006D1FE2">
              <w:t xml:space="preserve"> </w:t>
            </w:r>
            <w:r>
              <w:t>architecture, but longer retention is authorized if required for business use.</w:t>
            </w:r>
          </w:p>
        </w:tc>
        <w:tc>
          <w:tcPr>
            <w:tcW w:w="1260" w:type="dxa"/>
          </w:tcPr>
          <w:p w14:paraId="61F690C8" w14:textId="0678BFA9" w:rsidR="00254B77" w:rsidRDefault="00170532" w:rsidP="00B85AB8">
            <w:pPr>
              <w:spacing w:after="0" w:line="240" w:lineRule="auto"/>
            </w:pPr>
            <w:r>
              <w:t>DAA-GRS-2017-0009</w:t>
            </w:r>
            <w:r w:rsidR="00F97D07">
              <w:t>-000</w:t>
            </w:r>
            <w:r w:rsidR="00FE78C0">
              <w:t>2</w:t>
            </w:r>
          </w:p>
        </w:tc>
      </w:tr>
    </w:tbl>
    <w:p w14:paraId="54ABE4BB" w14:textId="0F0C4AC3" w:rsidR="00254B77" w:rsidRPr="00B51EAA" w:rsidRDefault="00254B77" w:rsidP="00B51EAA">
      <w:pPr>
        <w:tabs>
          <w:tab w:val="left" w:pos="6705"/>
          <w:tab w:val="left" w:pos="7185"/>
        </w:tabs>
      </w:pPr>
    </w:p>
    <w:sectPr w:rsidR="00254B77" w:rsidRPr="00B51EAA" w:rsidSect="0079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CDED" w14:textId="77777777" w:rsidR="00950C30" w:rsidRDefault="00950C30">
      <w:pPr>
        <w:spacing w:after="0" w:line="240" w:lineRule="auto"/>
      </w:pPr>
      <w:r>
        <w:separator/>
      </w:r>
    </w:p>
  </w:endnote>
  <w:endnote w:type="continuationSeparator" w:id="0">
    <w:p w14:paraId="327A35FE" w14:textId="77777777" w:rsidR="00950C30" w:rsidRDefault="0095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2B07" w14:textId="77777777" w:rsidR="0079017A" w:rsidRDefault="00790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2635" w14:textId="12EB19A5" w:rsidR="00296D95" w:rsidRDefault="00296D9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DA16" w14:textId="77777777" w:rsidR="00254B77" w:rsidRDefault="0024151D">
    <w:pPr>
      <w:tabs>
        <w:tab w:val="center" w:pos="4680"/>
        <w:tab w:val="right" w:pos="9360"/>
      </w:tabs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4895881" w14:textId="77777777" w:rsidR="00254B77" w:rsidRDefault="00254B7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24E2" w14:textId="77777777" w:rsidR="00950C30" w:rsidRDefault="00950C30">
      <w:pPr>
        <w:spacing w:after="0" w:line="240" w:lineRule="auto"/>
      </w:pPr>
      <w:r>
        <w:separator/>
      </w:r>
    </w:p>
  </w:footnote>
  <w:footnote w:type="continuationSeparator" w:id="0">
    <w:p w14:paraId="2B3BBAB2" w14:textId="77777777" w:rsidR="00950C30" w:rsidRDefault="0095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01F4" w14:textId="77777777" w:rsidR="0079017A" w:rsidRDefault="00790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392D" w14:textId="09FB90B5" w:rsidR="00254B77" w:rsidRDefault="00254B77" w:rsidP="00B51EAA">
    <w:pPr>
      <w:pStyle w:val="Header"/>
      <w:tabs>
        <w:tab w:val="right" w:pos="144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960498"/>
      <w:docPartObj>
        <w:docPartGallery w:val="Page Numbers (Top of Page)"/>
        <w:docPartUnique/>
      </w:docPartObj>
    </w:sdtPr>
    <w:sdtEndPr/>
    <w:sdtContent>
      <w:p w14:paraId="2AEC8A29" w14:textId="2C99AC99" w:rsidR="00B51EAA" w:rsidRPr="00A31178" w:rsidRDefault="00B51EAA" w:rsidP="00B51EAA">
        <w:pPr>
          <w:pStyle w:val="Header"/>
          <w:tabs>
            <w:tab w:val="clear" w:pos="9360"/>
            <w:tab w:val="right" w:pos="14310"/>
          </w:tabs>
          <w:rPr>
            <w:b/>
            <w:bCs/>
            <w:sz w:val="20"/>
            <w:szCs w:val="20"/>
          </w:rPr>
        </w:pPr>
        <w:r w:rsidRPr="00A31178">
          <w:rPr>
            <w:b/>
            <w:bCs/>
            <w:sz w:val="20"/>
            <w:szCs w:val="20"/>
          </w:rPr>
          <w:t xml:space="preserve">Transmittal No. </w:t>
        </w:r>
        <w:r>
          <w:rPr>
            <w:b/>
            <w:bCs/>
            <w:sz w:val="20"/>
            <w:szCs w:val="20"/>
          </w:rPr>
          <w:t>29</w:t>
        </w:r>
        <w:r w:rsidRPr="00A31178">
          <w:rPr>
            <w:b/>
            <w:bCs/>
            <w:sz w:val="20"/>
            <w:szCs w:val="20"/>
          </w:rPr>
          <w:tab/>
        </w:r>
        <w:r w:rsidRPr="00A31178">
          <w:rPr>
            <w:b/>
            <w:bCs/>
            <w:sz w:val="20"/>
            <w:szCs w:val="20"/>
          </w:rPr>
          <w:tab/>
          <w:t>General Records Schedule</w:t>
        </w:r>
        <w:r>
          <w:rPr>
            <w:b/>
            <w:bCs/>
            <w:sz w:val="20"/>
            <w:szCs w:val="20"/>
          </w:rPr>
          <w:t xml:space="preserve"> 6.3</w:t>
        </w:r>
      </w:p>
      <w:p w14:paraId="576ED783" w14:textId="3897E128" w:rsidR="00B51EAA" w:rsidRDefault="00B51EAA" w:rsidP="00B51EAA">
        <w:pPr>
          <w:pStyle w:val="Header"/>
          <w:tabs>
            <w:tab w:val="right" w:pos="14400"/>
          </w:tabs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December 2017</w:t>
        </w:r>
      </w:p>
      <w:p w14:paraId="792CF555" w14:textId="524E98E7" w:rsidR="00254B77" w:rsidRPr="00B51EAA" w:rsidRDefault="00950C30" w:rsidP="00B51EAA">
        <w:pPr>
          <w:pStyle w:val="Header"/>
          <w:tabs>
            <w:tab w:val="right" w:pos="14400"/>
          </w:tabs>
          <w:rPr>
            <w:b/>
            <w:bCs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66EF"/>
    <w:multiLevelType w:val="multilevel"/>
    <w:tmpl w:val="330CC686"/>
    <w:lvl w:ilvl="0">
      <w:start w:val="1"/>
      <w:numFmt w:val="bullet"/>
      <w:lvlText w:val="●"/>
      <w:lvlJc w:val="left"/>
      <w:pPr>
        <w:ind w:left="1048" w:firstLine="68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68" w:firstLine="140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88" w:firstLine="212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08" w:firstLine="284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28" w:firstLine="356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48" w:firstLine="428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68" w:firstLine="500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88" w:firstLine="572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08" w:firstLine="6448"/>
      </w:pPr>
      <w:rPr>
        <w:rFonts w:ascii="Arial" w:eastAsia="Arial" w:hAnsi="Arial" w:cs="Arial"/>
      </w:rPr>
    </w:lvl>
  </w:abstractNum>
  <w:abstractNum w:abstractNumId="1" w15:restartNumberingAfterBreak="0">
    <w:nsid w:val="25A022D5"/>
    <w:multiLevelType w:val="multilevel"/>
    <w:tmpl w:val="EDA43F08"/>
    <w:lvl w:ilvl="0">
      <w:start w:val="1"/>
      <w:numFmt w:val="bullet"/>
      <w:lvlText w:val=""/>
      <w:lvlJc w:val="left"/>
      <w:pPr>
        <w:ind w:left="1095" w:firstLine="73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15" w:firstLine="145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5" w:firstLine="217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5" w:firstLine="289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5" w:firstLine="361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5" w:firstLine="433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5" w:firstLine="505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5" w:firstLine="577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5" w:firstLine="6495"/>
      </w:pPr>
      <w:rPr>
        <w:rFonts w:ascii="Arial" w:eastAsia="Arial" w:hAnsi="Arial" w:cs="Arial"/>
      </w:rPr>
    </w:lvl>
  </w:abstractNum>
  <w:abstractNum w:abstractNumId="2" w15:restartNumberingAfterBreak="0">
    <w:nsid w:val="59C4748A"/>
    <w:multiLevelType w:val="multilevel"/>
    <w:tmpl w:val="381ACA26"/>
    <w:lvl w:ilvl="0">
      <w:start w:val="1"/>
      <w:numFmt w:val="bullet"/>
      <w:lvlText w:val="●"/>
      <w:lvlJc w:val="left"/>
      <w:pPr>
        <w:ind w:left="1095" w:firstLine="73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5" w:firstLine="145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5" w:firstLine="217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5" w:firstLine="289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5" w:firstLine="361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5" w:firstLine="433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5" w:firstLine="505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5" w:firstLine="577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5" w:firstLine="6495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77"/>
    <w:rsid w:val="00044C8B"/>
    <w:rsid w:val="00066F69"/>
    <w:rsid w:val="000768C0"/>
    <w:rsid w:val="0008136E"/>
    <w:rsid w:val="000B0283"/>
    <w:rsid w:val="000E36D0"/>
    <w:rsid w:val="00117EF4"/>
    <w:rsid w:val="001268BA"/>
    <w:rsid w:val="0014718A"/>
    <w:rsid w:val="00150A64"/>
    <w:rsid w:val="00170532"/>
    <w:rsid w:val="00191F2E"/>
    <w:rsid w:val="001A0D97"/>
    <w:rsid w:val="001B7C60"/>
    <w:rsid w:val="001E2F5E"/>
    <w:rsid w:val="001F28B6"/>
    <w:rsid w:val="0020153C"/>
    <w:rsid w:val="00202A79"/>
    <w:rsid w:val="00236DB2"/>
    <w:rsid w:val="00237C06"/>
    <w:rsid w:val="0024151D"/>
    <w:rsid w:val="00254B77"/>
    <w:rsid w:val="00274685"/>
    <w:rsid w:val="00296D95"/>
    <w:rsid w:val="002B1D5B"/>
    <w:rsid w:val="002B7E89"/>
    <w:rsid w:val="002C6AD6"/>
    <w:rsid w:val="002F5419"/>
    <w:rsid w:val="002F74A4"/>
    <w:rsid w:val="0030026A"/>
    <w:rsid w:val="003025BE"/>
    <w:rsid w:val="00302CFE"/>
    <w:rsid w:val="00326742"/>
    <w:rsid w:val="00340343"/>
    <w:rsid w:val="00345E5F"/>
    <w:rsid w:val="0035180C"/>
    <w:rsid w:val="003826FA"/>
    <w:rsid w:val="00393A1D"/>
    <w:rsid w:val="003B1BF8"/>
    <w:rsid w:val="003E7217"/>
    <w:rsid w:val="00404A51"/>
    <w:rsid w:val="0040623D"/>
    <w:rsid w:val="00411131"/>
    <w:rsid w:val="004338A2"/>
    <w:rsid w:val="00435D79"/>
    <w:rsid w:val="004759CA"/>
    <w:rsid w:val="00481490"/>
    <w:rsid w:val="0049553D"/>
    <w:rsid w:val="004A41B4"/>
    <w:rsid w:val="004E64A9"/>
    <w:rsid w:val="004F2C71"/>
    <w:rsid w:val="005170C1"/>
    <w:rsid w:val="00531C3D"/>
    <w:rsid w:val="005365A3"/>
    <w:rsid w:val="00537EDF"/>
    <w:rsid w:val="00542E20"/>
    <w:rsid w:val="00546384"/>
    <w:rsid w:val="005C0E47"/>
    <w:rsid w:val="005E22A3"/>
    <w:rsid w:val="006009F9"/>
    <w:rsid w:val="00605893"/>
    <w:rsid w:val="00614D0D"/>
    <w:rsid w:val="00664823"/>
    <w:rsid w:val="006951AC"/>
    <w:rsid w:val="006A2050"/>
    <w:rsid w:val="006A5DA6"/>
    <w:rsid w:val="006C33C3"/>
    <w:rsid w:val="006D1FE2"/>
    <w:rsid w:val="006E2E45"/>
    <w:rsid w:val="006F78F9"/>
    <w:rsid w:val="007159AB"/>
    <w:rsid w:val="00731B06"/>
    <w:rsid w:val="007561C6"/>
    <w:rsid w:val="007603A7"/>
    <w:rsid w:val="00782954"/>
    <w:rsid w:val="0079017A"/>
    <w:rsid w:val="007A104D"/>
    <w:rsid w:val="007A4BC6"/>
    <w:rsid w:val="007B0A6A"/>
    <w:rsid w:val="007B372B"/>
    <w:rsid w:val="007C3E97"/>
    <w:rsid w:val="007F11F3"/>
    <w:rsid w:val="00820886"/>
    <w:rsid w:val="00833AFB"/>
    <w:rsid w:val="00876EE2"/>
    <w:rsid w:val="00877BCB"/>
    <w:rsid w:val="00880967"/>
    <w:rsid w:val="008A05B1"/>
    <w:rsid w:val="008B2511"/>
    <w:rsid w:val="008D1AA9"/>
    <w:rsid w:val="008E045A"/>
    <w:rsid w:val="008E4707"/>
    <w:rsid w:val="00931EE2"/>
    <w:rsid w:val="00950C30"/>
    <w:rsid w:val="00961F5B"/>
    <w:rsid w:val="00973F7B"/>
    <w:rsid w:val="00981AE2"/>
    <w:rsid w:val="009C1262"/>
    <w:rsid w:val="009F6072"/>
    <w:rsid w:val="00A01F63"/>
    <w:rsid w:val="00A04CAF"/>
    <w:rsid w:val="00A15FD0"/>
    <w:rsid w:val="00A175D0"/>
    <w:rsid w:val="00A67035"/>
    <w:rsid w:val="00A76D27"/>
    <w:rsid w:val="00A771CC"/>
    <w:rsid w:val="00AC0F8A"/>
    <w:rsid w:val="00AC27F2"/>
    <w:rsid w:val="00AD49BD"/>
    <w:rsid w:val="00AE7F3C"/>
    <w:rsid w:val="00AF09C0"/>
    <w:rsid w:val="00AF6A5D"/>
    <w:rsid w:val="00B15193"/>
    <w:rsid w:val="00B243B3"/>
    <w:rsid w:val="00B26ADA"/>
    <w:rsid w:val="00B31A1C"/>
    <w:rsid w:val="00B33805"/>
    <w:rsid w:val="00B505DC"/>
    <w:rsid w:val="00B50D6C"/>
    <w:rsid w:val="00B51EAA"/>
    <w:rsid w:val="00B536F8"/>
    <w:rsid w:val="00B75A1C"/>
    <w:rsid w:val="00B85AB8"/>
    <w:rsid w:val="00B95577"/>
    <w:rsid w:val="00BA6C2F"/>
    <w:rsid w:val="00BC6858"/>
    <w:rsid w:val="00BF0984"/>
    <w:rsid w:val="00C306CF"/>
    <w:rsid w:val="00CE2B34"/>
    <w:rsid w:val="00CE7061"/>
    <w:rsid w:val="00D178C8"/>
    <w:rsid w:val="00D32422"/>
    <w:rsid w:val="00D55724"/>
    <w:rsid w:val="00D569F4"/>
    <w:rsid w:val="00D94A78"/>
    <w:rsid w:val="00DA5877"/>
    <w:rsid w:val="00DB3CD3"/>
    <w:rsid w:val="00DE1CDF"/>
    <w:rsid w:val="00E0372A"/>
    <w:rsid w:val="00E16B1A"/>
    <w:rsid w:val="00E52D37"/>
    <w:rsid w:val="00E54422"/>
    <w:rsid w:val="00E5567B"/>
    <w:rsid w:val="00E72C7C"/>
    <w:rsid w:val="00E74B1A"/>
    <w:rsid w:val="00E75F32"/>
    <w:rsid w:val="00EC43AC"/>
    <w:rsid w:val="00ED1B09"/>
    <w:rsid w:val="00EF497F"/>
    <w:rsid w:val="00F11636"/>
    <w:rsid w:val="00F2785C"/>
    <w:rsid w:val="00F66D53"/>
    <w:rsid w:val="00F97D07"/>
    <w:rsid w:val="00FE4867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48EB"/>
  <w15:docId w15:val="{57B94E72-745F-4340-A601-8951B7E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D7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B8"/>
  </w:style>
  <w:style w:type="paragraph" w:styleId="Footer">
    <w:name w:val="footer"/>
    <w:basedOn w:val="Normal"/>
    <w:link w:val="FooterChar"/>
    <w:uiPriority w:val="99"/>
    <w:unhideWhenUsed/>
    <w:rsid w:val="00B8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FF5D-D296-47F9-AB16-A9CA120F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McHale</dc:creator>
  <cp:lastModifiedBy>Katherene Kim</cp:lastModifiedBy>
  <cp:revision>2</cp:revision>
  <dcterms:created xsi:type="dcterms:W3CDTF">2022-02-28T15:07:00Z</dcterms:created>
  <dcterms:modified xsi:type="dcterms:W3CDTF">2022-02-28T15:07:00Z</dcterms:modified>
</cp:coreProperties>
</file>