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AFC" w14:textId="77777777" w:rsidR="0079156E" w:rsidRPr="008F3172" w:rsidRDefault="008F3172" w:rsidP="00CD6273">
      <w:pPr>
        <w:spacing w:after="0" w:line="240" w:lineRule="auto"/>
        <w:jc w:val="center"/>
        <w:rPr>
          <w:b/>
          <w:sz w:val="36"/>
          <w:szCs w:val="36"/>
        </w:rPr>
      </w:pPr>
      <w:r w:rsidRPr="008F3172">
        <w:rPr>
          <w:b/>
          <w:sz w:val="36"/>
          <w:szCs w:val="36"/>
        </w:rPr>
        <w:t>GENERAL RECORDS SCHEDULE</w:t>
      </w:r>
      <w:r w:rsidR="00DC68B5">
        <w:rPr>
          <w:b/>
          <w:sz w:val="36"/>
          <w:szCs w:val="36"/>
        </w:rPr>
        <w:t xml:space="preserve"> </w:t>
      </w:r>
      <w:r w:rsidR="001813C1">
        <w:rPr>
          <w:b/>
          <w:sz w:val="36"/>
          <w:szCs w:val="36"/>
        </w:rPr>
        <w:t>5.</w:t>
      </w:r>
      <w:r w:rsidR="006F5515">
        <w:rPr>
          <w:b/>
          <w:sz w:val="36"/>
          <w:szCs w:val="36"/>
        </w:rPr>
        <w:t>3</w:t>
      </w:r>
      <w:r w:rsidR="00DC68B5">
        <w:rPr>
          <w:b/>
          <w:sz w:val="36"/>
          <w:szCs w:val="36"/>
        </w:rPr>
        <w:t xml:space="preserve">:  </w:t>
      </w:r>
      <w:r w:rsidR="001813C1">
        <w:rPr>
          <w:b/>
          <w:sz w:val="36"/>
          <w:szCs w:val="36"/>
        </w:rPr>
        <w:t>Continuity and Emergency Planning Records</w:t>
      </w:r>
    </w:p>
    <w:p w14:paraId="137B8010" w14:textId="77777777" w:rsidR="00552BD0" w:rsidRPr="002D2643" w:rsidRDefault="00552BD0" w:rsidP="00DC68B5">
      <w:pPr>
        <w:spacing w:after="0" w:line="240" w:lineRule="auto"/>
        <w:rPr>
          <w:rFonts w:asciiTheme="minorHAnsi" w:hAnsiTheme="minorHAnsi"/>
          <w:sz w:val="20"/>
          <w:szCs w:val="20"/>
        </w:rPr>
      </w:pPr>
    </w:p>
    <w:p w14:paraId="03ECA97A" w14:textId="662AF5DC" w:rsidR="00846C80" w:rsidRDefault="006629A0" w:rsidP="006629A0">
      <w:pPr>
        <w:spacing w:after="0" w:line="240" w:lineRule="auto"/>
        <w:jc w:val="both"/>
        <w:rPr>
          <w:rFonts w:asciiTheme="minorHAnsi" w:hAnsiTheme="minorHAnsi"/>
        </w:rPr>
      </w:pPr>
      <w:r>
        <w:rPr>
          <w:rFonts w:asciiTheme="minorHAnsi" w:hAnsiTheme="minorHAnsi"/>
        </w:rPr>
        <w:t>This sche</w:t>
      </w:r>
      <w:r w:rsidR="007719C5">
        <w:rPr>
          <w:rFonts w:asciiTheme="minorHAnsi" w:hAnsiTheme="minorHAnsi"/>
        </w:rPr>
        <w:t>dule covers records related to</w:t>
      </w:r>
      <w:r>
        <w:rPr>
          <w:rFonts w:asciiTheme="minorHAnsi" w:hAnsiTheme="minorHAnsi"/>
        </w:rPr>
        <w:t xml:space="preserve"> </w:t>
      </w:r>
      <w:r w:rsidR="00EE0E28">
        <w:rPr>
          <w:rFonts w:asciiTheme="minorHAnsi" w:hAnsiTheme="minorHAnsi"/>
        </w:rPr>
        <w:t>f</w:t>
      </w:r>
      <w:r>
        <w:rPr>
          <w:rFonts w:asciiTheme="minorHAnsi" w:hAnsiTheme="minorHAnsi"/>
        </w:rPr>
        <w:t>ederal agency internal emergency planning</w:t>
      </w:r>
      <w:r w:rsidRPr="00870611">
        <w:t xml:space="preserve"> </w:t>
      </w:r>
      <w:r w:rsidR="00D5274C">
        <w:rPr>
          <w:color w:val="000000"/>
        </w:rPr>
        <w:t xml:space="preserve">to protect people, </w:t>
      </w:r>
      <w:r>
        <w:rPr>
          <w:color w:val="000000"/>
        </w:rPr>
        <w:t>government facilities, equipment</w:t>
      </w:r>
      <w:r w:rsidR="007719C5">
        <w:rPr>
          <w:color w:val="000000"/>
        </w:rPr>
        <w:t>,</w:t>
      </w:r>
      <w:r>
        <w:rPr>
          <w:color w:val="000000"/>
        </w:rPr>
        <w:t xml:space="preserve"> and records</w:t>
      </w:r>
      <w:r w:rsidR="00CF762D">
        <w:rPr>
          <w:color w:val="000000"/>
        </w:rPr>
        <w:t xml:space="preserve">; </w:t>
      </w:r>
      <w:r>
        <w:rPr>
          <w:color w:val="000000"/>
        </w:rPr>
        <w:t xml:space="preserve">safeguard classified or </w:t>
      </w:r>
      <w:r w:rsidR="00BC6DDE">
        <w:rPr>
          <w:color w:val="000000"/>
        </w:rPr>
        <w:t>controlled unclassified</w:t>
      </w:r>
      <w:r>
        <w:rPr>
          <w:color w:val="000000"/>
        </w:rPr>
        <w:t xml:space="preserve"> information</w:t>
      </w:r>
      <w:r w:rsidR="00CF762D">
        <w:rPr>
          <w:color w:val="000000"/>
        </w:rPr>
        <w:t>;</w:t>
      </w:r>
      <w:r>
        <w:rPr>
          <w:color w:val="000000"/>
        </w:rPr>
        <w:t xml:space="preserve"> ensure </w:t>
      </w:r>
      <w:r>
        <w:rPr>
          <w:rFonts w:asciiTheme="minorHAnsi" w:hAnsiTheme="minorHAnsi"/>
        </w:rPr>
        <w:t>continuity of agency operations in the face of potential natural and man-made disasters</w:t>
      </w:r>
      <w:r w:rsidR="00CF762D">
        <w:rPr>
          <w:rFonts w:asciiTheme="minorHAnsi" w:hAnsiTheme="minorHAnsi"/>
        </w:rPr>
        <w:t>;</w:t>
      </w:r>
      <w:r>
        <w:rPr>
          <w:rFonts w:asciiTheme="minorHAnsi" w:hAnsiTheme="minorHAnsi"/>
        </w:rPr>
        <w:t xml:space="preserve"> and facilitate timely recovery and return to normal agency operations once the emergency or disaster has passed</w:t>
      </w:r>
      <w:r w:rsidR="00846C80">
        <w:rPr>
          <w:rFonts w:asciiTheme="minorHAnsi" w:hAnsiTheme="minorHAnsi"/>
        </w:rPr>
        <w:t>.</w:t>
      </w:r>
    </w:p>
    <w:p w14:paraId="292E619F" w14:textId="77777777" w:rsidR="002D6D2F" w:rsidRDefault="002D6D2F" w:rsidP="006629A0">
      <w:pPr>
        <w:spacing w:after="0" w:line="240" w:lineRule="auto"/>
        <w:jc w:val="both"/>
        <w:rPr>
          <w:rFonts w:asciiTheme="minorHAnsi" w:hAnsiTheme="minorHAnsi"/>
        </w:rPr>
      </w:pPr>
    </w:p>
    <w:p w14:paraId="7363E25B" w14:textId="77777777" w:rsidR="002D6D2F" w:rsidRPr="002D6D2F" w:rsidRDefault="002D6D2F" w:rsidP="002D6D2F">
      <w:pPr>
        <w:spacing w:after="0" w:line="240" w:lineRule="auto"/>
      </w:pPr>
      <w:r w:rsidRPr="00A45140">
        <w:t>Agencies must offer any records created prior to January 1, 1921, to the National Archives and Records Administration (NARA) before applying disposition instructions in this schedule.</w:t>
      </w:r>
    </w:p>
    <w:p w14:paraId="59EFB5D7" w14:textId="77777777" w:rsidR="00846C80" w:rsidRDefault="00846C80" w:rsidP="006629A0">
      <w:pPr>
        <w:spacing w:after="0" w:line="240" w:lineRule="auto"/>
        <w:jc w:val="both"/>
        <w:rPr>
          <w:rFonts w:asciiTheme="minorHAnsi" w:hAnsiTheme="minorHAnsi"/>
        </w:rPr>
      </w:pPr>
    </w:p>
    <w:p w14:paraId="5C1FF1D0" w14:textId="77777777" w:rsidR="00440CE5" w:rsidRDefault="006629A0" w:rsidP="00846C80">
      <w:pPr>
        <w:spacing w:after="0" w:line="240" w:lineRule="auto"/>
        <w:rPr>
          <w:rFonts w:asciiTheme="minorHAnsi" w:hAnsiTheme="minorHAnsi"/>
        </w:rPr>
      </w:pPr>
      <w:r>
        <w:rPr>
          <w:rFonts w:asciiTheme="minorHAnsi" w:hAnsiTheme="minorHAnsi"/>
        </w:rPr>
        <w:t>This schedule does not include</w:t>
      </w:r>
      <w:r w:rsidR="00440CE5">
        <w:rPr>
          <w:rFonts w:asciiTheme="minorHAnsi" w:hAnsiTheme="minorHAnsi"/>
        </w:rPr>
        <w:t xml:space="preserve"> the following:</w:t>
      </w:r>
    </w:p>
    <w:p w14:paraId="508CAA4E" w14:textId="77777777" w:rsidR="00440CE5" w:rsidRDefault="006629A0" w:rsidP="00440CE5">
      <w:pPr>
        <w:pStyle w:val="ListParagraph"/>
        <w:numPr>
          <w:ilvl w:val="0"/>
          <w:numId w:val="24"/>
        </w:numPr>
        <w:spacing w:after="0" w:line="240" w:lineRule="auto"/>
        <w:rPr>
          <w:rFonts w:asciiTheme="minorHAnsi" w:hAnsiTheme="minorHAnsi"/>
        </w:rPr>
      </w:pPr>
      <w:r w:rsidRPr="00440CE5">
        <w:rPr>
          <w:rFonts w:asciiTheme="minorHAnsi" w:hAnsiTheme="minorHAnsi"/>
        </w:rPr>
        <w:t xml:space="preserve">external emergency planning records </w:t>
      </w:r>
      <w:r w:rsidR="00846C80" w:rsidRPr="00440CE5">
        <w:rPr>
          <w:rFonts w:asciiTheme="minorHAnsi" w:hAnsiTheme="minorHAnsi"/>
        </w:rPr>
        <w:t>related to</w:t>
      </w:r>
      <w:r w:rsidR="00501EE5" w:rsidRPr="00440CE5">
        <w:rPr>
          <w:rFonts w:asciiTheme="minorHAnsi" w:hAnsiTheme="minorHAnsi"/>
        </w:rPr>
        <w:t xml:space="preserve"> </w:t>
      </w:r>
      <w:r w:rsidRPr="00440CE5">
        <w:rPr>
          <w:rFonts w:asciiTheme="minorHAnsi" w:hAnsiTheme="minorHAnsi"/>
        </w:rPr>
        <w:t>p</w:t>
      </w:r>
      <w:r w:rsidR="00D5274C" w:rsidRPr="00440CE5">
        <w:rPr>
          <w:rFonts w:asciiTheme="minorHAnsi" w:hAnsiTheme="minorHAnsi"/>
        </w:rPr>
        <w:t xml:space="preserve">roviding emergency response </w:t>
      </w:r>
      <w:r w:rsidR="00B906E0" w:rsidRPr="00440CE5">
        <w:rPr>
          <w:rFonts w:asciiTheme="minorHAnsi" w:hAnsiTheme="minorHAnsi"/>
        </w:rPr>
        <w:t>and recovery services to</w:t>
      </w:r>
      <w:r w:rsidRPr="00440CE5">
        <w:rPr>
          <w:rFonts w:asciiTheme="minorHAnsi" w:hAnsiTheme="minorHAnsi"/>
        </w:rPr>
        <w:t xml:space="preserve"> the public </w:t>
      </w:r>
    </w:p>
    <w:p w14:paraId="3F6E41D6" w14:textId="77777777" w:rsidR="00440CE5" w:rsidRDefault="00440CE5" w:rsidP="00440CE5">
      <w:pPr>
        <w:pStyle w:val="ListParagraph"/>
        <w:numPr>
          <w:ilvl w:val="0"/>
          <w:numId w:val="24"/>
        </w:numPr>
        <w:spacing w:after="0" w:line="240" w:lineRule="auto"/>
        <w:rPr>
          <w:rFonts w:asciiTheme="minorHAnsi" w:hAnsiTheme="minorHAnsi"/>
        </w:rPr>
      </w:pPr>
      <w:r>
        <w:rPr>
          <w:rFonts w:asciiTheme="minorHAnsi" w:hAnsiTheme="minorHAnsi"/>
        </w:rPr>
        <w:t>records related to high-level</w:t>
      </w:r>
      <w:r w:rsidR="007719C5">
        <w:rPr>
          <w:rFonts w:asciiTheme="minorHAnsi" w:hAnsiTheme="minorHAnsi"/>
        </w:rPr>
        <w:t xml:space="preserve"> G</w:t>
      </w:r>
      <w:r>
        <w:rPr>
          <w:rFonts w:asciiTheme="minorHAnsi" w:hAnsiTheme="minorHAnsi"/>
        </w:rPr>
        <w:t>overnment-wide Continuity of Government (COG) planning</w:t>
      </w:r>
    </w:p>
    <w:p w14:paraId="03E07DDF" w14:textId="77777777" w:rsidR="005D5D5F" w:rsidRDefault="005D5D5F" w:rsidP="00440CE5">
      <w:pPr>
        <w:pStyle w:val="ListParagraph"/>
        <w:numPr>
          <w:ilvl w:val="0"/>
          <w:numId w:val="24"/>
        </w:numPr>
        <w:spacing w:after="0" w:line="240" w:lineRule="auto"/>
        <w:rPr>
          <w:rFonts w:asciiTheme="minorHAnsi" w:hAnsiTheme="minorHAnsi"/>
        </w:rPr>
      </w:pPr>
      <w:r>
        <w:rPr>
          <w:rFonts w:asciiTheme="minorHAnsi" w:hAnsiTheme="minorHAnsi"/>
        </w:rPr>
        <w:t>emergency response planning related to mission activities in the agency, e.g. NASA emergency plans for when a rocket explodes</w:t>
      </w:r>
    </w:p>
    <w:p w14:paraId="5649804B" w14:textId="77777777" w:rsidR="00440CE5" w:rsidRDefault="0079284F" w:rsidP="00440CE5">
      <w:pPr>
        <w:pStyle w:val="ListParagraph"/>
        <w:numPr>
          <w:ilvl w:val="0"/>
          <w:numId w:val="24"/>
        </w:numPr>
        <w:spacing w:after="0" w:line="240" w:lineRule="auto"/>
        <w:rPr>
          <w:rFonts w:asciiTheme="minorHAnsi" w:hAnsiTheme="minorHAnsi"/>
        </w:rPr>
      </w:pPr>
      <w:r w:rsidRPr="00440CE5">
        <w:rPr>
          <w:rFonts w:asciiTheme="minorHAnsi" w:hAnsiTheme="minorHAnsi"/>
        </w:rPr>
        <w:t xml:space="preserve">records related to a national </w:t>
      </w:r>
      <w:r w:rsidR="00440CE5">
        <w:rPr>
          <w:rFonts w:asciiTheme="minorHAnsi" w:hAnsiTheme="minorHAnsi"/>
        </w:rPr>
        <w:t>disaster or incident response</w:t>
      </w:r>
    </w:p>
    <w:p w14:paraId="5CCBA47F" w14:textId="77777777" w:rsidR="006629A0" w:rsidRPr="00440CE5" w:rsidRDefault="006629A0" w:rsidP="00440CE5">
      <w:pPr>
        <w:pStyle w:val="ListParagraph"/>
        <w:spacing w:after="0" w:line="240" w:lineRule="auto"/>
        <w:ind w:left="0"/>
        <w:rPr>
          <w:rFonts w:asciiTheme="minorHAnsi" w:hAnsiTheme="minorHAnsi"/>
        </w:rPr>
      </w:pPr>
      <w:r w:rsidRPr="00440CE5">
        <w:rPr>
          <w:rFonts w:asciiTheme="minorHAnsi" w:hAnsiTheme="minorHAnsi"/>
        </w:rPr>
        <w:t>These records may be of permanent value and must be scheduled on an agency-specific records schedule.</w:t>
      </w:r>
    </w:p>
    <w:p w14:paraId="0B728185" w14:textId="77777777" w:rsidR="00FA1738" w:rsidRPr="002D2643" w:rsidRDefault="00FA1738" w:rsidP="00DC68B5">
      <w:pPr>
        <w:spacing w:after="0" w:line="240" w:lineRule="auto"/>
        <w:rPr>
          <w:rFonts w:asciiTheme="minorHAnsi" w:hAnsiTheme="minorHAnsi"/>
        </w:rPr>
      </w:pP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9900"/>
        <w:gridCol w:w="2520"/>
        <w:gridCol w:w="1350"/>
      </w:tblGrid>
      <w:tr w:rsidR="00E4085B" w:rsidRPr="002D2643" w14:paraId="3C67051E" w14:textId="77777777" w:rsidTr="00C6221D">
        <w:trPr>
          <w:tblHeader/>
        </w:trPr>
        <w:tc>
          <w:tcPr>
            <w:tcW w:w="720" w:type="dxa"/>
            <w:shd w:val="clear" w:color="auto" w:fill="B6DDE8"/>
          </w:tcPr>
          <w:p w14:paraId="42DF7593" w14:textId="77777777" w:rsidR="00E4085B" w:rsidRPr="00632350" w:rsidRDefault="00E4085B" w:rsidP="00CD6273">
            <w:pPr>
              <w:spacing w:after="0" w:line="240" w:lineRule="auto"/>
              <w:ind w:left="-55"/>
              <w:jc w:val="center"/>
              <w:rPr>
                <w:rFonts w:asciiTheme="minorHAnsi" w:hAnsiTheme="minorHAnsi" w:cstheme="minorHAnsi"/>
                <w:b/>
              </w:rPr>
            </w:pPr>
            <w:r w:rsidRPr="00632350">
              <w:rPr>
                <w:rFonts w:asciiTheme="minorHAnsi" w:hAnsiTheme="minorHAnsi" w:cstheme="minorHAnsi"/>
                <w:b/>
              </w:rPr>
              <w:t>Item</w:t>
            </w:r>
          </w:p>
        </w:tc>
        <w:tc>
          <w:tcPr>
            <w:tcW w:w="9900" w:type="dxa"/>
            <w:shd w:val="clear" w:color="auto" w:fill="B6DDE8"/>
          </w:tcPr>
          <w:p w14:paraId="11AE7354" w14:textId="77777777" w:rsidR="00E4085B" w:rsidRPr="002D2643" w:rsidRDefault="00E4085B" w:rsidP="00C06B48">
            <w:pPr>
              <w:spacing w:after="0" w:line="240" w:lineRule="auto"/>
              <w:rPr>
                <w:rFonts w:asciiTheme="minorHAnsi" w:hAnsiTheme="minorHAnsi" w:cstheme="minorHAnsi"/>
                <w:b/>
              </w:rPr>
            </w:pPr>
            <w:r w:rsidRPr="002D2643">
              <w:rPr>
                <w:rFonts w:asciiTheme="minorHAnsi" w:hAnsiTheme="minorHAnsi" w:cstheme="minorHAnsi"/>
                <w:b/>
              </w:rPr>
              <w:t>Records Description</w:t>
            </w:r>
          </w:p>
        </w:tc>
        <w:tc>
          <w:tcPr>
            <w:tcW w:w="2520" w:type="dxa"/>
            <w:shd w:val="clear" w:color="auto" w:fill="B6DDE8"/>
          </w:tcPr>
          <w:p w14:paraId="6C8B18B5" w14:textId="77777777" w:rsidR="00E4085B" w:rsidRPr="002D2643" w:rsidRDefault="00E4085B" w:rsidP="004C7901">
            <w:pPr>
              <w:spacing w:after="0" w:line="240" w:lineRule="auto"/>
              <w:jc w:val="center"/>
              <w:rPr>
                <w:rFonts w:asciiTheme="minorHAnsi" w:hAnsiTheme="minorHAnsi" w:cstheme="minorHAnsi"/>
                <w:b/>
              </w:rPr>
            </w:pPr>
            <w:r w:rsidRPr="002D2643">
              <w:rPr>
                <w:rFonts w:asciiTheme="minorHAnsi" w:hAnsiTheme="minorHAnsi" w:cstheme="minorHAnsi"/>
                <w:b/>
              </w:rPr>
              <w:t>Disposition Instruction</w:t>
            </w:r>
          </w:p>
        </w:tc>
        <w:tc>
          <w:tcPr>
            <w:tcW w:w="1350" w:type="dxa"/>
            <w:shd w:val="clear" w:color="auto" w:fill="B6DDE8"/>
          </w:tcPr>
          <w:p w14:paraId="2F3FC4A0" w14:textId="77777777" w:rsidR="00E4085B" w:rsidRPr="002D2643" w:rsidRDefault="00E4085B" w:rsidP="004C7921">
            <w:pPr>
              <w:spacing w:after="0" w:line="240" w:lineRule="auto"/>
              <w:jc w:val="center"/>
              <w:rPr>
                <w:rFonts w:asciiTheme="minorHAnsi" w:hAnsiTheme="minorHAnsi" w:cstheme="minorHAnsi"/>
                <w:b/>
              </w:rPr>
            </w:pPr>
            <w:r w:rsidRPr="002D2643">
              <w:rPr>
                <w:rFonts w:asciiTheme="minorHAnsi" w:hAnsiTheme="minorHAnsi" w:cstheme="minorHAnsi"/>
                <w:b/>
              </w:rPr>
              <w:t>Disposition Authority</w:t>
            </w:r>
          </w:p>
        </w:tc>
      </w:tr>
      <w:tr w:rsidR="00E4085B" w:rsidRPr="006C53EA" w14:paraId="5F3EF2C9" w14:textId="77777777" w:rsidTr="00C6221D">
        <w:tc>
          <w:tcPr>
            <w:tcW w:w="720" w:type="dxa"/>
          </w:tcPr>
          <w:p w14:paraId="573C2551" w14:textId="77777777" w:rsidR="00E4085B" w:rsidRPr="006C53EA" w:rsidRDefault="00E4085B" w:rsidP="00632350">
            <w:pPr>
              <w:spacing w:after="0" w:line="240" w:lineRule="auto"/>
              <w:jc w:val="center"/>
              <w:rPr>
                <w:rFonts w:asciiTheme="minorHAnsi" w:hAnsiTheme="minorHAnsi"/>
              </w:rPr>
            </w:pPr>
            <w:r w:rsidRPr="006C53EA">
              <w:rPr>
                <w:rFonts w:asciiTheme="minorHAnsi" w:hAnsiTheme="minorHAnsi"/>
              </w:rPr>
              <w:t>010</w:t>
            </w:r>
          </w:p>
        </w:tc>
        <w:tc>
          <w:tcPr>
            <w:tcW w:w="9900" w:type="dxa"/>
          </w:tcPr>
          <w:p w14:paraId="397070F7" w14:textId="77777777" w:rsidR="00E4085B" w:rsidRPr="006C53EA" w:rsidRDefault="00383B67" w:rsidP="00076098">
            <w:pPr>
              <w:spacing w:after="0" w:line="240" w:lineRule="auto"/>
              <w:ind w:left="11"/>
              <w:rPr>
                <w:rFonts w:asciiTheme="minorHAnsi" w:hAnsiTheme="minorHAnsi" w:cs="TimesNewRomanPSMT"/>
                <w:b/>
              </w:rPr>
            </w:pPr>
            <w:r>
              <w:rPr>
                <w:rFonts w:asciiTheme="minorHAnsi" w:hAnsiTheme="minorHAnsi" w:cs="TimesNewRomanPSMT"/>
                <w:b/>
              </w:rPr>
              <w:t xml:space="preserve">Continuity </w:t>
            </w:r>
            <w:r w:rsidR="0014313E">
              <w:rPr>
                <w:rFonts w:asciiTheme="minorHAnsi" w:hAnsiTheme="minorHAnsi" w:cs="TimesNewRomanPSMT"/>
                <w:b/>
              </w:rPr>
              <w:t>planning and related emergency planning files.</w:t>
            </w:r>
          </w:p>
          <w:p w14:paraId="29AA73B9" w14:textId="77777777" w:rsidR="00E4085B" w:rsidRDefault="0014313E" w:rsidP="0014313E">
            <w:pPr>
              <w:spacing w:after="0" w:line="240" w:lineRule="auto"/>
              <w:ind w:left="335"/>
            </w:pPr>
            <w:r>
              <w:t xml:space="preserve">Records </w:t>
            </w:r>
            <w:r w:rsidR="00E40714">
              <w:t xml:space="preserve">may </w:t>
            </w:r>
            <w:r>
              <w:t>include:</w:t>
            </w:r>
          </w:p>
          <w:p w14:paraId="0B263855" w14:textId="77777777" w:rsidR="00335E30" w:rsidRDefault="00907E07" w:rsidP="0053282F">
            <w:pPr>
              <w:pStyle w:val="ListParagraph"/>
              <w:numPr>
                <w:ilvl w:val="0"/>
                <w:numId w:val="22"/>
              </w:numPr>
              <w:spacing w:after="0" w:line="240" w:lineRule="auto"/>
              <w:ind w:left="695"/>
            </w:pPr>
            <w:r>
              <w:t>r</w:t>
            </w:r>
            <w:r w:rsidR="00335E30">
              <w:t xml:space="preserve">ecords </w:t>
            </w:r>
            <w:r w:rsidR="007719C5">
              <w:t>on</w:t>
            </w:r>
            <w:r w:rsidR="00335E30">
              <w:t xml:space="preserve"> continuity</w:t>
            </w:r>
            <w:r w:rsidR="00E40714">
              <w:t xml:space="preserve"> and emergency planning </w:t>
            </w:r>
            <w:r w:rsidR="00C91DBE">
              <w:t>administrative</w:t>
            </w:r>
            <w:r w:rsidR="007719C5">
              <w:t xml:space="preserve"> and operational</w:t>
            </w:r>
            <w:r w:rsidR="00E40714">
              <w:t xml:space="preserve"> activities</w:t>
            </w:r>
            <w:r w:rsidR="00335E30">
              <w:t>:</w:t>
            </w:r>
          </w:p>
          <w:p w14:paraId="544BCA3A" w14:textId="77777777" w:rsidR="00726CA2" w:rsidRDefault="00907E07" w:rsidP="0053282F">
            <w:pPr>
              <w:pStyle w:val="ListParagraph"/>
              <w:numPr>
                <w:ilvl w:val="1"/>
                <w:numId w:val="22"/>
              </w:numPr>
              <w:spacing w:after="0" w:line="240" w:lineRule="auto"/>
              <w:ind w:left="1055"/>
            </w:pPr>
            <w:r>
              <w:t>b</w:t>
            </w:r>
            <w:r w:rsidR="00726CA2">
              <w:t>riefing materials and presentations</w:t>
            </w:r>
          </w:p>
          <w:p w14:paraId="7A99F97E" w14:textId="77777777" w:rsidR="00335E30" w:rsidRDefault="00907E07" w:rsidP="0053282F">
            <w:pPr>
              <w:pStyle w:val="ListParagraph"/>
              <w:numPr>
                <w:ilvl w:val="1"/>
                <w:numId w:val="22"/>
              </w:numPr>
              <w:spacing w:after="0" w:line="240" w:lineRule="auto"/>
              <w:ind w:left="1055"/>
            </w:pPr>
            <w:r>
              <w:t>s</w:t>
            </w:r>
            <w:r w:rsidR="00335E30">
              <w:t>tatus reports</w:t>
            </w:r>
          </w:p>
          <w:p w14:paraId="00056298" w14:textId="77777777" w:rsidR="00726CA2" w:rsidRDefault="00907E07" w:rsidP="0053282F">
            <w:pPr>
              <w:pStyle w:val="ListParagraph"/>
              <w:numPr>
                <w:ilvl w:val="1"/>
                <w:numId w:val="22"/>
              </w:numPr>
              <w:spacing w:after="0" w:line="240" w:lineRule="auto"/>
              <w:ind w:left="1055"/>
            </w:pPr>
            <w:r>
              <w:t>i</w:t>
            </w:r>
            <w:r w:rsidR="00726CA2">
              <w:t>nformational papers</w:t>
            </w:r>
          </w:p>
          <w:p w14:paraId="69A41298" w14:textId="77777777" w:rsidR="00191417" w:rsidRDefault="00907E07" w:rsidP="0053282F">
            <w:pPr>
              <w:pStyle w:val="ListParagraph"/>
              <w:numPr>
                <w:ilvl w:val="1"/>
                <w:numId w:val="22"/>
              </w:numPr>
              <w:spacing w:after="0" w:line="240" w:lineRule="auto"/>
              <w:ind w:left="1055"/>
            </w:pPr>
            <w:r>
              <w:t>f</w:t>
            </w:r>
            <w:r w:rsidR="00335E30">
              <w:t>iles documenting policy or plan development, including policy studies</w:t>
            </w:r>
          </w:p>
          <w:p w14:paraId="566A45F5" w14:textId="77777777" w:rsidR="00335E30" w:rsidRDefault="00907E07" w:rsidP="0053282F">
            <w:pPr>
              <w:pStyle w:val="ListParagraph"/>
              <w:numPr>
                <w:ilvl w:val="1"/>
                <w:numId w:val="22"/>
              </w:numPr>
              <w:spacing w:after="0" w:line="240" w:lineRule="auto"/>
              <w:ind w:left="1055"/>
            </w:pPr>
            <w:r>
              <w:t>p</w:t>
            </w:r>
            <w:r w:rsidR="00335E30">
              <w:t>rocedures</w:t>
            </w:r>
            <w:r w:rsidR="00726CA2">
              <w:t>, operational manuals,</w:t>
            </w:r>
            <w:r w:rsidR="00335E30">
              <w:t xml:space="preserve"> </w:t>
            </w:r>
            <w:r w:rsidR="00E40714">
              <w:t xml:space="preserve">and related </w:t>
            </w:r>
            <w:r w:rsidR="00335E30">
              <w:t>development records</w:t>
            </w:r>
          </w:p>
          <w:p w14:paraId="460AAF8E" w14:textId="77777777" w:rsidR="00335E30" w:rsidRDefault="00907E07" w:rsidP="0053282F">
            <w:pPr>
              <w:pStyle w:val="ListParagraph"/>
              <w:numPr>
                <w:ilvl w:val="1"/>
                <w:numId w:val="22"/>
              </w:numPr>
              <w:spacing w:after="0" w:line="240" w:lineRule="auto"/>
              <w:ind w:left="1055"/>
            </w:pPr>
            <w:r>
              <w:t>i</w:t>
            </w:r>
            <w:r w:rsidR="00335E30">
              <w:t>mplementation guidance</w:t>
            </w:r>
            <w:r w:rsidR="00726CA2">
              <w:t xml:space="preserve"> </w:t>
            </w:r>
          </w:p>
          <w:p w14:paraId="22FDB57A" w14:textId="77777777" w:rsidR="0043580F" w:rsidRDefault="0043580F" w:rsidP="0043580F">
            <w:pPr>
              <w:pStyle w:val="ListParagraph"/>
              <w:numPr>
                <w:ilvl w:val="1"/>
                <w:numId w:val="22"/>
              </w:numPr>
              <w:spacing w:after="0" w:line="240" w:lineRule="auto"/>
              <w:ind w:left="1055"/>
            </w:pPr>
            <w:r>
              <w:t>related correspondence</w:t>
            </w:r>
          </w:p>
          <w:p w14:paraId="7A27C975" w14:textId="77777777" w:rsidR="00A10082" w:rsidRPr="00A10082" w:rsidRDefault="00A10082" w:rsidP="00A10082">
            <w:pPr>
              <w:pStyle w:val="ListParagraph"/>
              <w:numPr>
                <w:ilvl w:val="1"/>
                <w:numId w:val="22"/>
              </w:numPr>
              <w:spacing w:after="0" w:line="240" w:lineRule="auto"/>
              <w:ind w:left="1055"/>
            </w:pPr>
            <w:r w:rsidRPr="00A10082">
              <w:t>Memorandum (s) of Understanding</w:t>
            </w:r>
          </w:p>
          <w:p w14:paraId="636879EC" w14:textId="77777777" w:rsidR="00A10082" w:rsidRPr="00A10082" w:rsidRDefault="00A10082" w:rsidP="00A10082">
            <w:pPr>
              <w:pStyle w:val="ListParagraph"/>
              <w:numPr>
                <w:ilvl w:val="1"/>
                <w:numId w:val="22"/>
              </w:numPr>
              <w:spacing w:after="0" w:line="240" w:lineRule="auto"/>
              <w:ind w:left="1055"/>
            </w:pPr>
            <w:r w:rsidRPr="00A10082">
              <w:t>Delegations of Authority/Orders of Succession</w:t>
            </w:r>
          </w:p>
          <w:p w14:paraId="3A1A4CA5" w14:textId="77777777" w:rsidR="0014313E" w:rsidRDefault="00684E43" w:rsidP="0053282F">
            <w:pPr>
              <w:pStyle w:val="ListParagraph"/>
              <w:numPr>
                <w:ilvl w:val="0"/>
                <w:numId w:val="22"/>
              </w:numPr>
              <w:spacing w:after="0" w:line="240" w:lineRule="auto"/>
              <w:ind w:left="695"/>
            </w:pPr>
            <w:r>
              <w:t xml:space="preserve">continuity </w:t>
            </w:r>
            <w:r w:rsidR="00907E07">
              <w:t>p</w:t>
            </w:r>
            <w:r w:rsidR="0014313E">
              <w:t>lans or directives and supporting documentation</w:t>
            </w:r>
            <w:r>
              <w:t>, including but not limited to</w:t>
            </w:r>
            <w:r w:rsidR="0014313E">
              <w:t>:</w:t>
            </w:r>
          </w:p>
          <w:p w14:paraId="1DFB1DBA" w14:textId="77777777" w:rsidR="0014313E" w:rsidRDefault="00C74875" w:rsidP="0053282F">
            <w:pPr>
              <w:pStyle w:val="ListParagraph"/>
              <w:numPr>
                <w:ilvl w:val="1"/>
                <w:numId w:val="22"/>
              </w:numPr>
              <w:spacing w:after="0" w:line="240" w:lineRule="auto"/>
              <w:ind w:left="1055"/>
            </w:pPr>
            <w:r>
              <w:t xml:space="preserve">Continuity </w:t>
            </w:r>
            <w:r w:rsidR="00684E43">
              <w:t xml:space="preserve">of Operations (COOP) </w:t>
            </w:r>
            <w:r w:rsidR="0079284F">
              <w:t xml:space="preserve">plans </w:t>
            </w:r>
          </w:p>
          <w:p w14:paraId="45B01C7F" w14:textId="77777777" w:rsidR="00A10082" w:rsidRPr="00A10082" w:rsidRDefault="00A10082" w:rsidP="00A10082">
            <w:pPr>
              <w:pStyle w:val="ListParagraph"/>
              <w:numPr>
                <w:ilvl w:val="1"/>
                <w:numId w:val="22"/>
              </w:numPr>
              <w:spacing w:after="0" w:line="240" w:lineRule="auto"/>
              <w:ind w:left="1055"/>
            </w:pPr>
            <w:r w:rsidRPr="00A10082">
              <w:t>Devolution Plans</w:t>
            </w:r>
          </w:p>
          <w:p w14:paraId="10420942" w14:textId="77777777" w:rsidR="00593BED" w:rsidRDefault="00C74875" w:rsidP="0053282F">
            <w:pPr>
              <w:pStyle w:val="ListParagraph"/>
              <w:numPr>
                <w:ilvl w:val="1"/>
                <w:numId w:val="22"/>
              </w:numPr>
              <w:spacing w:after="0" w:line="240" w:lineRule="auto"/>
              <w:ind w:left="1055"/>
            </w:pPr>
            <w:r>
              <w:t>Occupant Emergency P</w:t>
            </w:r>
            <w:r w:rsidR="00593BED">
              <w:t>lans (O</w:t>
            </w:r>
            <w:r w:rsidR="006629A0">
              <w:t>E</w:t>
            </w:r>
            <w:r w:rsidR="00593BED">
              <w:t>P)</w:t>
            </w:r>
          </w:p>
          <w:p w14:paraId="5069E9A4" w14:textId="77777777" w:rsidR="0014313E" w:rsidRDefault="00C74875" w:rsidP="0053282F">
            <w:pPr>
              <w:pStyle w:val="ListParagraph"/>
              <w:numPr>
                <w:ilvl w:val="1"/>
                <w:numId w:val="22"/>
              </w:numPr>
              <w:spacing w:after="0" w:line="240" w:lineRule="auto"/>
              <w:ind w:left="1055"/>
            </w:pPr>
            <w:r>
              <w:lastRenderedPageBreak/>
              <w:t>Emergency Action P</w:t>
            </w:r>
            <w:r w:rsidR="0014313E">
              <w:t xml:space="preserve">lans </w:t>
            </w:r>
            <w:r w:rsidR="00593BED">
              <w:t>(EAP)</w:t>
            </w:r>
          </w:p>
          <w:p w14:paraId="0A35090E" w14:textId="77777777" w:rsidR="00B36333" w:rsidRDefault="00C74875" w:rsidP="0053282F">
            <w:pPr>
              <w:pStyle w:val="ListParagraph"/>
              <w:numPr>
                <w:ilvl w:val="1"/>
                <w:numId w:val="22"/>
              </w:numPr>
              <w:spacing w:after="0" w:line="240" w:lineRule="auto"/>
              <w:ind w:left="1055"/>
            </w:pPr>
            <w:r>
              <w:t>Facility Emergency Action P</w:t>
            </w:r>
            <w:r w:rsidR="00B36333">
              <w:t>lans (FEAPS)</w:t>
            </w:r>
          </w:p>
          <w:p w14:paraId="2FA914B6" w14:textId="77777777" w:rsidR="005338F0" w:rsidRPr="00593BED" w:rsidRDefault="00C74875" w:rsidP="0053282F">
            <w:pPr>
              <w:pStyle w:val="ListParagraph"/>
              <w:numPr>
                <w:ilvl w:val="1"/>
                <w:numId w:val="22"/>
              </w:numPr>
              <w:spacing w:line="240" w:lineRule="auto"/>
              <w:ind w:left="1055"/>
            </w:pPr>
            <w:r>
              <w:t>Records Emergency P</w:t>
            </w:r>
            <w:r w:rsidR="004A26E3" w:rsidRPr="00593BED">
              <w:t>lans (REMT)</w:t>
            </w:r>
          </w:p>
          <w:p w14:paraId="048C4D8E" w14:textId="77777777" w:rsidR="005338F0" w:rsidRPr="00593BED" w:rsidRDefault="00C74875" w:rsidP="0053282F">
            <w:pPr>
              <w:pStyle w:val="ListParagraph"/>
              <w:numPr>
                <w:ilvl w:val="1"/>
                <w:numId w:val="22"/>
              </w:numPr>
              <w:spacing w:line="240" w:lineRule="auto"/>
              <w:ind w:left="1055"/>
            </w:pPr>
            <w:r>
              <w:t>D</w:t>
            </w:r>
            <w:r w:rsidR="004A26E3" w:rsidRPr="00593BED">
              <w:t xml:space="preserve">isaster </w:t>
            </w:r>
            <w:r>
              <w:t>Recovery P</w:t>
            </w:r>
            <w:r w:rsidR="004A26E3" w:rsidRPr="00593BED">
              <w:t>lans (DRP)</w:t>
            </w:r>
          </w:p>
          <w:p w14:paraId="15880659" w14:textId="77777777" w:rsidR="00593BED" w:rsidRDefault="00C74875" w:rsidP="0053282F">
            <w:pPr>
              <w:pStyle w:val="ListParagraph"/>
              <w:numPr>
                <w:ilvl w:val="1"/>
                <w:numId w:val="22"/>
              </w:numPr>
              <w:spacing w:after="0" w:line="240" w:lineRule="auto"/>
              <w:ind w:left="1055"/>
            </w:pPr>
            <w:r>
              <w:t xml:space="preserve">Pandemic </w:t>
            </w:r>
            <w:r w:rsidR="00684E43">
              <w:t>Influenza</w:t>
            </w:r>
            <w:r>
              <w:t xml:space="preserve"> P</w:t>
            </w:r>
            <w:r w:rsidR="00593BED">
              <w:t>lans</w:t>
            </w:r>
          </w:p>
          <w:p w14:paraId="1E683BEE" w14:textId="77777777" w:rsidR="0014313E" w:rsidRDefault="00907E07" w:rsidP="0053282F">
            <w:pPr>
              <w:pStyle w:val="ListParagraph"/>
              <w:numPr>
                <w:ilvl w:val="0"/>
                <w:numId w:val="22"/>
              </w:numPr>
              <w:spacing w:after="0" w:line="240" w:lineRule="auto"/>
              <w:ind w:left="695"/>
            </w:pPr>
            <w:r>
              <w:t>r</w:t>
            </w:r>
            <w:r w:rsidR="00335E30">
              <w:t xml:space="preserve">ecords </w:t>
            </w:r>
            <w:r w:rsidR="007719C5">
              <w:t xml:space="preserve">on </w:t>
            </w:r>
            <w:r w:rsidR="0079284F">
              <w:t>continuity</w:t>
            </w:r>
            <w:r w:rsidR="000F1722">
              <w:t xml:space="preserve"> or emergency tests or </w:t>
            </w:r>
            <w:r w:rsidR="00335E30">
              <w:t>exercises</w:t>
            </w:r>
            <w:r w:rsidR="00291DA8">
              <w:t>, such as:</w:t>
            </w:r>
          </w:p>
          <w:p w14:paraId="1FCFEAC3" w14:textId="77777777" w:rsidR="00291DA8" w:rsidRDefault="00291DA8" w:rsidP="0053282F">
            <w:pPr>
              <w:pStyle w:val="ListParagraph"/>
              <w:numPr>
                <w:ilvl w:val="1"/>
                <w:numId w:val="22"/>
              </w:numPr>
              <w:spacing w:after="0" w:line="240" w:lineRule="auto"/>
              <w:ind w:left="1055"/>
            </w:pPr>
            <w:r w:rsidRPr="00291DA8">
              <w:t>instruc</w:t>
            </w:r>
            <w:r w:rsidR="00C10DA4">
              <w:t>tions to members participating in tests</w:t>
            </w:r>
          </w:p>
          <w:p w14:paraId="066DF164" w14:textId="77777777" w:rsidR="00291DA8" w:rsidRDefault="00291DA8" w:rsidP="0053282F">
            <w:pPr>
              <w:pStyle w:val="ListParagraph"/>
              <w:numPr>
                <w:ilvl w:val="1"/>
                <w:numId w:val="22"/>
              </w:numPr>
              <w:spacing w:after="0" w:line="240" w:lineRule="auto"/>
              <w:ind w:left="1055"/>
            </w:pPr>
            <w:r w:rsidRPr="00291DA8">
              <w:t>staffing assignments</w:t>
            </w:r>
          </w:p>
          <w:p w14:paraId="42D245CC" w14:textId="77777777" w:rsidR="00291DA8" w:rsidRDefault="00291DA8" w:rsidP="0053282F">
            <w:pPr>
              <w:pStyle w:val="ListParagraph"/>
              <w:numPr>
                <w:ilvl w:val="1"/>
                <w:numId w:val="22"/>
              </w:numPr>
              <w:spacing w:after="0" w:line="240" w:lineRule="auto"/>
              <w:ind w:left="1055"/>
            </w:pPr>
            <w:r>
              <w:t xml:space="preserve">records </w:t>
            </w:r>
            <w:r w:rsidR="000569FC">
              <w:t>of</w:t>
            </w:r>
            <w:r>
              <w:t xml:space="preserve"> </w:t>
            </w:r>
            <w:r w:rsidRPr="00291DA8">
              <w:t>tests of communication</w:t>
            </w:r>
            <w:r>
              <w:t>s</w:t>
            </w:r>
            <w:r w:rsidRPr="00291DA8">
              <w:t xml:space="preserve"> and facilities</w:t>
            </w:r>
          </w:p>
          <w:p w14:paraId="17CC6CFE" w14:textId="77777777" w:rsidR="00291DA8" w:rsidRDefault="00907E07" w:rsidP="0053282F">
            <w:pPr>
              <w:pStyle w:val="ListParagraph"/>
              <w:numPr>
                <w:ilvl w:val="0"/>
                <w:numId w:val="22"/>
              </w:numPr>
              <w:spacing w:after="0" w:line="240" w:lineRule="auto"/>
              <w:ind w:left="695"/>
            </w:pPr>
            <w:r>
              <w:t>e</w:t>
            </w:r>
            <w:r w:rsidR="00291DA8">
              <w:t>valuative r</w:t>
            </w:r>
            <w:r w:rsidR="0079284F">
              <w:t>eports on continuity</w:t>
            </w:r>
            <w:r w:rsidR="00335E30">
              <w:t xml:space="preserve"> or emergency tests</w:t>
            </w:r>
            <w:r w:rsidR="000F1722">
              <w:t xml:space="preserve"> or exercises</w:t>
            </w:r>
            <w:r w:rsidR="00335E30">
              <w:t>,</w:t>
            </w:r>
            <w:r w:rsidR="00291DA8">
              <w:t xml:space="preserve"> such as:</w:t>
            </w:r>
          </w:p>
          <w:p w14:paraId="187E0380" w14:textId="77777777" w:rsidR="00291DA8" w:rsidRDefault="00291DA8" w:rsidP="0053282F">
            <w:pPr>
              <w:pStyle w:val="ListParagraph"/>
              <w:numPr>
                <w:ilvl w:val="1"/>
                <w:numId w:val="22"/>
              </w:numPr>
              <w:spacing w:after="0" w:line="240" w:lineRule="auto"/>
              <w:ind w:left="1055"/>
            </w:pPr>
            <w:r>
              <w:t>result reports</w:t>
            </w:r>
          </w:p>
          <w:p w14:paraId="3558F3F5" w14:textId="77777777" w:rsidR="00291DA8" w:rsidRDefault="00291DA8" w:rsidP="0053282F">
            <w:pPr>
              <w:pStyle w:val="ListParagraph"/>
              <w:numPr>
                <w:ilvl w:val="1"/>
                <w:numId w:val="22"/>
              </w:numPr>
              <w:spacing w:after="0" w:line="240" w:lineRule="auto"/>
              <w:ind w:left="1055"/>
            </w:pPr>
            <w:r>
              <w:t>readiness reports</w:t>
            </w:r>
            <w:r w:rsidR="00335E30">
              <w:t xml:space="preserve"> </w:t>
            </w:r>
          </w:p>
          <w:p w14:paraId="3093C929" w14:textId="77777777" w:rsidR="00291DA8" w:rsidRDefault="00291DA8" w:rsidP="0053282F">
            <w:pPr>
              <w:pStyle w:val="ListParagraph"/>
              <w:numPr>
                <w:ilvl w:val="1"/>
                <w:numId w:val="22"/>
              </w:numPr>
              <w:spacing w:after="0" w:line="240" w:lineRule="auto"/>
              <w:ind w:left="1055"/>
            </w:pPr>
            <w:r>
              <w:t>risk and vulnerability assessments</w:t>
            </w:r>
          </w:p>
          <w:p w14:paraId="3098E47D" w14:textId="77777777" w:rsidR="00291DA8" w:rsidRDefault="00291DA8" w:rsidP="0053282F">
            <w:pPr>
              <w:pStyle w:val="ListParagraph"/>
              <w:numPr>
                <w:ilvl w:val="1"/>
                <w:numId w:val="22"/>
              </w:numPr>
              <w:spacing w:after="0" w:line="240" w:lineRule="auto"/>
              <w:ind w:left="1055"/>
            </w:pPr>
            <w:r>
              <w:t>site evaluations and inspections</w:t>
            </w:r>
          </w:p>
          <w:p w14:paraId="74826AE5" w14:textId="77777777" w:rsidR="00335E30" w:rsidRDefault="00291DA8" w:rsidP="0053282F">
            <w:pPr>
              <w:pStyle w:val="ListParagraph"/>
              <w:numPr>
                <w:ilvl w:val="1"/>
                <w:numId w:val="22"/>
              </w:numPr>
              <w:spacing w:after="0" w:line="240" w:lineRule="auto"/>
              <w:ind w:left="1055"/>
            </w:pPr>
            <w:r>
              <w:t>c</w:t>
            </w:r>
            <w:r w:rsidR="00335E30">
              <w:t>orrective action plans</w:t>
            </w:r>
          </w:p>
          <w:p w14:paraId="4A4BCB14" w14:textId="77777777" w:rsidR="001263CC" w:rsidRDefault="001263CC" w:rsidP="0053282F">
            <w:pPr>
              <w:pStyle w:val="ListParagraph"/>
              <w:numPr>
                <w:ilvl w:val="1"/>
                <w:numId w:val="22"/>
              </w:numPr>
              <w:spacing w:after="0" w:line="240" w:lineRule="auto"/>
              <w:ind w:left="1055"/>
            </w:pPr>
            <w:r>
              <w:rPr>
                <w:rFonts w:asciiTheme="minorHAnsi" w:hAnsiTheme="minorHAnsi"/>
              </w:rPr>
              <w:t>after action reports/improvement plans</w:t>
            </w:r>
          </w:p>
          <w:p w14:paraId="58BA89B8" w14:textId="77777777" w:rsidR="0014313E" w:rsidRPr="006C53EA" w:rsidRDefault="0014313E" w:rsidP="0014313E">
            <w:pPr>
              <w:spacing w:after="0" w:line="240" w:lineRule="auto"/>
              <w:ind w:left="335"/>
            </w:pPr>
          </w:p>
          <w:p w14:paraId="07422E51" w14:textId="77777777" w:rsidR="006C53EA" w:rsidRDefault="00335E30" w:rsidP="00726CA2">
            <w:pPr>
              <w:spacing w:after="0" w:line="240" w:lineRule="auto"/>
              <w:ind w:left="328"/>
            </w:pPr>
            <w:r>
              <w:rPr>
                <w:b/>
              </w:rPr>
              <w:t xml:space="preserve">Note 1: </w:t>
            </w:r>
            <w:r>
              <w:t>C</w:t>
            </w:r>
            <w:r w:rsidR="0079284F">
              <w:t>ontinuity</w:t>
            </w:r>
            <w:r>
              <w:t xml:space="preserve"> or emergency plans that are acted upon in the event of a</w:t>
            </w:r>
            <w:r w:rsidR="0079284F">
              <w:t xml:space="preserve"> national</w:t>
            </w:r>
            <w:r>
              <w:t xml:space="preserve"> emergency ma</w:t>
            </w:r>
            <w:r w:rsidR="003C5B10">
              <w:t>y be of permanent value. If an</w:t>
            </w:r>
            <w:r>
              <w:t xml:space="preserve"> agency has such records that document response to significant events, </w:t>
            </w:r>
            <w:r w:rsidR="003C5B10">
              <w:t>it</w:t>
            </w:r>
            <w:r>
              <w:t xml:space="preserve"> may submit a records schedule for NARA review.</w:t>
            </w:r>
            <w:r w:rsidR="006C53EA">
              <w:rPr>
                <w:b/>
              </w:rPr>
              <w:t xml:space="preserve"> </w:t>
            </w:r>
            <w:r w:rsidR="00726CA2">
              <w:t>If an agency believ</w:t>
            </w:r>
            <w:r w:rsidR="0079284F">
              <w:t>es its continuity</w:t>
            </w:r>
            <w:r w:rsidR="00B4298A">
              <w:t xml:space="preserve"> </w:t>
            </w:r>
            <w:r w:rsidR="00B51C36">
              <w:t>records generally</w:t>
            </w:r>
            <w:r w:rsidR="003C5B10">
              <w:t xml:space="preserve"> </w:t>
            </w:r>
            <w:r w:rsidR="00726CA2">
              <w:t>warrant permanent retention, it must submit a records schedule to NARA to cover these records.</w:t>
            </w:r>
          </w:p>
          <w:p w14:paraId="10F77E12" w14:textId="77777777" w:rsidR="00335E30" w:rsidRDefault="00335E30" w:rsidP="006C53EA">
            <w:pPr>
              <w:spacing w:after="0" w:line="240" w:lineRule="auto"/>
              <w:ind w:left="328"/>
              <w:rPr>
                <w:b/>
              </w:rPr>
            </w:pPr>
          </w:p>
          <w:p w14:paraId="01AC2533" w14:textId="77777777" w:rsidR="00335E30" w:rsidRDefault="00B51C36" w:rsidP="006C53EA">
            <w:pPr>
              <w:spacing w:after="0" w:line="240" w:lineRule="auto"/>
              <w:ind w:left="328"/>
            </w:pPr>
            <w:r>
              <w:rPr>
                <w:b/>
              </w:rPr>
              <w:t>Note 2</w:t>
            </w:r>
            <w:r w:rsidR="00335E30">
              <w:rPr>
                <w:b/>
              </w:rPr>
              <w:t xml:space="preserve">: </w:t>
            </w:r>
            <w:r w:rsidR="00335E30">
              <w:t xml:space="preserve">Records </w:t>
            </w:r>
            <w:r w:rsidR="000569FC">
              <w:t>on</w:t>
            </w:r>
            <w:r w:rsidR="0079284F">
              <w:t xml:space="preserve"> employee training for COOP</w:t>
            </w:r>
            <w:r w:rsidR="00335E30">
              <w:t xml:space="preserve"> are scheduled in GRS 2.6.</w:t>
            </w:r>
            <w:r w:rsidR="00C74875">
              <w:t xml:space="preserve"> Records </w:t>
            </w:r>
            <w:r w:rsidR="000569FC">
              <w:t>on</w:t>
            </w:r>
            <w:r w:rsidR="00C74875">
              <w:t xml:space="preserve"> </w:t>
            </w:r>
            <w:r w:rsidR="005D2829">
              <w:t xml:space="preserve">essential </w:t>
            </w:r>
            <w:r w:rsidR="00C74875">
              <w:t>records management are scheduled in GRS 4.1.</w:t>
            </w:r>
          </w:p>
          <w:p w14:paraId="441BD2E5" w14:textId="77777777" w:rsidR="00B4298A" w:rsidRDefault="00B4298A" w:rsidP="006C53EA">
            <w:pPr>
              <w:spacing w:after="0" w:line="240" w:lineRule="auto"/>
              <w:ind w:left="328"/>
            </w:pPr>
          </w:p>
          <w:p w14:paraId="7A766BF7" w14:textId="77777777" w:rsidR="0014313E" w:rsidRDefault="006C53EA" w:rsidP="006C53EA">
            <w:pPr>
              <w:spacing w:after="0" w:line="240" w:lineRule="auto"/>
              <w:ind w:left="328"/>
            </w:pPr>
            <w:r w:rsidRPr="006C53EA">
              <w:rPr>
                <w:b/>
              </w:rPr>
              <w:t>Exclusion</w:t>
            </w:r>
            <w:r>
              <w:rPr>
                <w:b/>
              </w:rPr>
              <w:t xml:space="preserve"> 1</w:t>
            </w:r>
            <w:r w:rsidRPr="006C53EA">
              <w:rPr>
                <w:b/>
              </w:rPr>
              <w:t>:</w:t>
            </w:r>
            <w:r>
              <w:rPr>
                <w:b/>
              </w:rPr>
              <w:t xml:space="preserve"> </w:t>
            </w:r>
            <w:r w:rsidR="00726CA2">
              <w:t>This item d</w:t>
            </w:r>
            <w:r w:rsidR="0014313E">
              <w:t>oes not include incident response records. These records may be of permanent value and should be scheduled by an agency-specific records schedule approved by NARA.</w:t>
            </w:r>
          </w:p>
          <w:p w14:paraId="2C18CC3B" w14:textId="77777777" w:rsidR="00440CE5" w:rsidRDefault="00440CE5" w:rsidP="006C53EA">
            <w:pPr>
              <w:spacing w:after="0" w:line="240" w:lineRule="auto"/>
              <w:ind w:left="328"/>
            </w:pPr>
          </w:p>
          <w:p w14:paraId="4E5FC3AE" w14:textId="77777777" w:rsidR="00191417" w:rsidRDefault="00440CE5" w:rsidP="003A671E">
            <w:pPr>
              <w:spacing w:after="0" w:line="240" w:lineRule="auto"/>
              <w:ind w:left="328"/>
            </w:pPr>
            <w:r>
              <w:rPr>
                <w:b/>
              </w:rPr>
              <w:t xml:space="preserve">Exclusion 2: </w:t>
            </w:r>
            <w:r>
              <w:t>This it</w:t>
            </w:r>
            <w:r w:rsidR="000569FC">
              <w:t>em does not include high-level G</w:t>
            </w:r>
            <w:r>
              <w:t xml:space="preserve">overnment-wide Continuity of Government (COG) records, although it can cover agency specific COG records. </w:t>
            </w:r>
          </w:p>
          <w:p w14:paraId="4AE2D8A8" w14:textId="77777777" w:rsidR="0043580F" w:rsidRDefault="0043580F" w:rsidP="003A671E">
            <w:pPr>
              <w:spacing w:after="0" w:line="240" w:lineRule="auto"/>
              <w:ind w:left="328"/>
            </w:pPr>
          </w:p>
          <w:p w14:paraId="7B9E74D4" w14:textId="77777777" w:rsidR="00CD6273" w:rsidRPr="007A0379" w:rsidRDefault="0043580F" w:rsidP="00C6221D">
            <w:pPr>
              <w:spacing w:after="0" w:line="240" w:lineRule="auto"/>
              <w:ind w:left="328"/>
            </w:pPr>
            <w:r>
              <w:rPr>
                <w:b/>
              </w:rPr>
              <w:lastRenderedPageBreak/>
              <w:t xml:space="preserve">Exclusion 3: </w:t>
            </w:r>
            <w:r w:rsidR="00F6546E">
              <w:t>This item does not include t</w:t>
            </w:r>
            <w:r>
              <w:t>he records of high-level officials</w:t>
            </w:r>
            <w:r w:rsidR="00F6546E">
              <w:t xml:space="preserve"> </w:t>
            </w:r>
            <w:r w:rsidR="00AD02A5">
              <w:t xml:space="preserve">(Capstone officials) </w:t>
            </w:r>
            <w:r w:rsidR="00F6546E">
              <w:t>as defined in GRS 6.1</w:t>
            </w:r>
            <w:r w:rsidR="00AD02A5">
              <w:t>, item 010,</w:t>
            </w:r>
            <w:r w:rsidR="00A849C3">
              <w:t xml:space="preserve"> or emergency plans that are pa</w:t>
            </w:r>
            <w:r w:rsidR="00D77D71">
              <w:t xml:space="preserve">rt of a series of directives. </w:t>
            </w:r>
            <w:r w:rsidR="00A849C3">
              <w:t xml:space="preserve"> </w:t>
            </w:r>
            <w:r w:rsidR="00D77D71">
              <w:t>E</w:t>
            </w:r>
            <w:r w:rsidR="00A849C3">
              <w:t>mergency plans issued as directives should be disposed of according to the disposition authority for agency directives.</w:t>
            </w:r>
          </w:p>
        </w:tc>
        <w:tc>
          <w:tcPr>
            <w:tcW w:w="2520" w:type="dxa"/>
          </w:tcPr>
          <w:p w14:paraId="08F4D404" w14:textId="77777777" w:rsidR="00E4085B" w:rsidRPr="006C53EA" w:rsidRDefault="00335E30" w:rsidP="00573EA5">
            <w:pPr>
              <w:spacing w:after="0" w:line="240" w:lineRule="auto"/>
              <w:rPr>
                <w:rFonts w:asciiTheme="minorHAnsi" w:hAnsiTheme="minorHAnsi"/>
              </w:rPr>
            </w:pPr>
            <w:r>
              <w:rPr>
                <w:rFonts w:asciiTheme="minorHAnsi" w:hAnsiTheme="minorHAnsi"/>
                <w:b/>
              </w:rPr>
              <w:lastRenderedPageBreak/>
              <w:t>Temporary.</w:t>
            </w:r>
            <w:r w:rsidR="004B3F0F">
              <w:rPr>
                <w:rFonts w:asciiTheme="minorHAnsi" w:hAnsiTheme="minorHAnsi"/>
              </w:rPr>
              <w:t xml:space="preserve"> </w:t>
            </w:r>
            <w:r w:rsidR="00C63EDB">
              <w:rPr>
                <w:rFonts w:asciiTheme="minorHAnsi" w:hAnsiTheme="minorHAnsi"/>
              </w:rPr>
              <w:t>Destroy when 3 years old or 3 years after superseded or ob</w:t>
            </w:r>
            <w:r w:rsidR="00C74875">
              <w:rPr>
                <w:rFonts w:asciiTheme="minorHAnsi" w:hAnsiTheme="minorHAnsi"/>
              </w:rPr>
              <w:t>solete, whichever is a</w:t>
            </w:r>
            <w:r w:rsidR="00573EA5">
              <w:rPr>
                <w:rFonts w:asciiTheme="minorHAnsi" w:hAnsiTheme="minorHAnsi"/>
              </w:rPr>
              <w:t>pplicable, but l</w:t>
            </w:r>
            <w:r w:rsidR="00C63EDB">
              <w:rPr>
                <w:rFonts w:asciiTheme="minorHAnsi" w:hAnsiTheme="minorHAnsi"/>
              </w:rPr>
              <w:t xml:space="preserve">onger retention is authorized </w:t>
            </w:r>
            <w:r w:rsidR="00573EA5">
              <w:rPr>
                <w:rFonts w:asciiTheme="minorHAnsi" w:hAnsiTheme="minorHAnsi"/>
              </w:rPr>
              <w:t>if required for</w:t>
            </w:r>
            <w:r w:rsidR="00C63EDB">
              <w:rPr>
                <w:rFonts w:asciiTheme="minorHAnsi" w:hAnsiTheme="minorHAnsi"/>
              </w:rPr>
              <w:t xml:space="preserve"> business use.</w:t>
            </w:r>
          </w:p>
        </w:tc>
        <w:tc>
          <w:tcPr>
            <w:tcW w:w="1350" w:type="dxa"/>
          </w:tcPr>
          <w:p w14:paraId="33765F9E" w14:textId="77777777" w:rsidR="00E4085B" w:rsidRPr="006C53EA" w:rsidRDefault="00E4085B" w:rsidP="008F1B42">
            <w:pPr>
              <w:spacing w:after="0" w:line="240" w:lineRule="auto"/>
              <w:rPr>
                <w:rFonts w:asciiTheme="minorHAnsi" w:hAnsiTheme="minorHAnsi" w:cstheme="minorHAnsi"/>
              </w:rPr>
            </w:pPr>
            <w:r w:rsidRPr="006C53EA">
              <w:rPr>
                <w:rFonts w:asciiTheme="minorHAnsi" w:hAnsiTheme="minorHAnsi" w:cstheme="minorHAnsi"/>
              </w:rPr>
              <w:t>DAA-GRS-</w:t>
            </w:r>
            <w:r w:rsidR="008F1B42">
              <w:rPr>
                <w:rFonts w:asciiTheme="minorHAnsi" w:hAnsiTheme="minorHAnsi" w:cstheme="minorHAnsi"/>
              </w:rPr>
              <w:t>2016-0004</w:t>
            </w:r>
            <w:r w:rsidRPr="006C53EA">
              <w:rPr>
                <w:rFonts w:asciiTheme="minorHAnsi" w:hAnsiTheme="minorHAnsi" w:cstheme="minorHAnsi"/>
              </w:rPr>
              <w:t>-</w:t>
            </w:r>
            <w:r w:rsidR="00B4298A">
              <w:rPr>
                <w:rFonts w:asciiTheme="minorHAnsi" w:hAnsiTheme="minorHAnsi" w:cstheme="minorHAnsi"/>
              </w:rPr>
              <w:t>0001</w:t>
            </w:r>
          </w:p>
        </w:tc>
      </w:tr>
      <w:tr w:rsidR="00383B67" w:rsidRPr="006C53EA" w14:paraId="799C8BA8" w14:textId="77777777" w:rsidTr="00C6221D">
        <w:tc>
          <w:tcPr>
            <w:tcW w:w="720" w:type="dxa"/>
          </w:tcPr>
          <w:p w14:paraId="0CF4E050" w14:textId="77777777" w:rsidR="00383B67" w:rsidRDefault="00383B67" w:rsidP="00B2111E">
            <w:pPr>
              <w:spacing w:after="0" w:line="240" w:lineRule="auto"/>
              <w:jc w:val="center"/>
              <w:rPr>
                <w:rFonts w:asciiTheme="minorHAnsi" w:hAnsiTheme="minorHAnsi"/>
              </w:rPr>
            </w:pPr>
            <w:r>
              <w:rPr>
                <w:rFonts w:asciiTheme="minorHAnsi" w:hAnsiTheme="minorHAnsi"/>
              </w:rPr>
              <w:lastRenderedPageBreak/>
              <w:t>020</w:t>
            </w:r>
          </w:p>
        </w:tc>
        <w:tc>
          <w:tcPr>
            <w:tcW w:w="9900" w:type="dxa"/>
          </w:tcPr>
          <w:p w14:paraId="294E27FE" w14:textId="77777777" w:rsidR="00383B67" w:rsidRDefault="006A3E03" w:rsidP="00E4085B">
            <w:pPr>
              <w:spacing w:after="0" w:line="240" w:lineRule="auto"/>
              <w:rPr>
                <w:rFonts w:asciiTheme="minorHAnsi" w:hAnsiTheme="minorHAnsi" w:cs="TimesNewRomanPSMT"/>
                <w:b/>
              </w:rPr>
            </w:pPr>
            <w:r>
              <w:rPr>
                <w:rFonts w:asciiTheme="minorHAnsi" w:hAnsiTheme="minorHAnsi" w:cs="TimesNewRomanPSMT"/>
                <w:b/>
              </w:rPr>
              <w:t>Employee emergency contact i</w:t>
            </w:r>
            <w:r w:rsidR="00383B67">
              <w:rPr>
                <w:rFonts w:asciiTheme="minorHAnsi" w:hAnsiTheme="minorHAnsi" w:cs="TimesNewRomanPSMT"/>
                <w:b/>
              </w:rPr>
              <w:t>nformation</w:t>
            </w:r>
            <w:r w:rsidR="00B906E0">
              <w:rPr>
                <w:rFonts w:asciiTheme="minorHAnsi" w:hAnsiTheme="minorHAnsi" w:cs="TimesNewRomanPSMT"/>
                <w:b/>
              </w:rPr>
              <w:t>.</w:t>
            </w:r>
          </w:p>
          <w:p w14:paraId="36610754" w14:textId="77777777" w:rsidR="00383B67" w:rsidRDefault="00383B67" w:rsidP="00383B67">
            <w:pPr>
              <w:spacing w:after="0" w:line="240" w:lineRule="auto"/>
              <w:ind w:left="335"/>
              <w:rPr>
                <w:rFonts w:asciiTheme="minorHAnsi" w:hAnsiTheme="minorHAnsi" w:cs="TimesNewRomanPSMT"/>
              </w:rPr>
            </w:pPr>
            <w:r w:rsidRPr="00383B67">
              <w:rPr>
                <w:rFonts w:asciiTheme="minorHAnsi" w:hAnsiTheme="minorHAnsi" w:cs="TimesNewRomanPSMT"/>
              </w:rPr>
              <w:t>Records used to account for and maintain communication with personnel during emerg</w:t>
            </w:r>
            <w:r w:rsidR="000569FC">
              <w:rPr>
                <w:rFonts w:asciiTheme="minorHAnsi" w:hAnsiTheme="minorHAnsi" w:cs="TimesNewRomanPSMT"/>
              </w:rPr>
              <w:t>encies, office dismissal, and</w:t>
            </w:r>
            <w:r w:rsidRPr="00383B67">
              <w:rPr>
                <w:rFonts w:asciiTheme="minorHAnsi" w:hAnsiTheme="minorHAnsi" w:cs="TimesNewRomanPSMT"/>
              </w:rPr>
              <w:t xml:space="preserve"> closure </w:t>
            </w:r>
            <w:r>
              <w:rPr>
                <w:rFonts w:asciiTheme="minorHAnsi" w:hAnsiTheme="minorHAnsi" w:cs="TimesNewRomanPSMT"/>
              </w:rPr>
              <w:t>situations.  Records include name and emergency contact information such as phone numbers or addresses.  Records may also include other information on employees such as responsibilities assigned to the individual during an emergency situation.</w:t>
            </w:r>
          </w:p>
          <w:p w14:paraId="4362E301" w14:textId="77777777" w:rsidR="006629A0" w:rsidRDefault="006629A0" w:rsidP="00383B67">
            <w:pPr>
              <w:spacing w:after="0" w:line="240" w:lineRule="auto"/>
              <w:ind w:left="335"/>
              <w:rPr>
                <w:rFonts w:asciiTheme="minorHAnsi" w:hAnsiTheme="minorHAnsi" w:cs="TimesNewRomanPSMT"/>
              </w:rPr>
            </w:pPr>
          </w:p>
          <w:p w14:paraId="43AB6DC3" w14:textId="77777777" w:rsidR="00383B67" w:rsidRDefault="006629A0" w:rsidP="00573EA5">
            <w:pPr>
              <w:spacing w:after="0" w:line="240" w:lineRule="auto"/>
              <w:ind w:left="335"/>
              <w:rPr>
                <w:rFonts w:asciiTheme="minorHAnsi" w:hAnsiTheme="minorHAnsi" w:cs="TimesNewRomanPSMT"/>
              </w:rPr>
            </w:pPr>
            <w:r>
              <w:rPr>
                <w:rFonts w:asciiTheme="minorHAnsi" w:hAnsiTheme="minorHAnsi" w:cs="TimesNewRomanPSMT"/>
                <w:b/>
              </w:rPr>
              <w:t xml:space="preserve">Exclusion: </w:t>
            </w:r>
            <w:r>
              <w:rPr>
                <w:rFonts w:asciiTheme="minorHAnsi" w:hAnsiTheme="minorHAnsi" w:cs="TimesNewRomanPSMT"/>
              </w:rPr>
              <w:t>This item does not include employee directories that contain information about where employees are located in facilities and work phone numbers</w:t>
            </w:r>
            <w:r w:rsidR="00F3559A">
              <w:rPr>
                <w:rFonts w:asciiTheme="minorHAnsi" w:hAnsiTheme="minorHAnsi" w:cs="TimesNewRomanPSMT"/>
              </w:rPr>
              <w:t xml:space="preserve"> (covered under GRS 5.5, item 020)</w:t>
            </w:r>
            <w:r>
              <w:rPr>
                <w:rFonts w:asciiTheme="minorHAnsi" w:hAnsiTheme="minorHAnsi" w:cs="TimesNewRomanPSMT"/>
              </w:rPr>
              <w:t xml:space="preserve">. </w:t>
            </w:r>
          </w:p>
          <w:p w14:paraId="229EA7DC" w14:textId="77777777" w:rsidR="00CD6273" w:rsidRPr="00383B67" w:rsidRDefault="00CD6273" w:rsidP="00573EA5">
            <w:pPr>
              <w:spacing w:after="0" w:line="240" w:lineRule="auto"/>
              <w:ind w:left="335"/>
              <w:rPr>
                <w:rFonts w:asciiTheme="minorHAnsi" w:hAnsiTheme="minorHAnsi" w:cs="TimesNewRomanPSMT"/>
              </w:rPr>
            </w:pPr>
          </w:p>
        </w:tc>
        <w:tc>
          <w:tcPr>
            <w:tcW w:w="2520" w:type="dxa"/>
          </w:tcPr>
          <w:p w14:paraId="3B9A6A7B" w14:textId="77777777" w:rsidR="00383B67" w:rsidRPr="00383B67" w:rsidRDefault="00383B67" w:rsidP="00C63EDB">
            <w:pPr>
              <w:spacing w:after="0" w:line="240" w:lineRule="auto"/>
              <w:rPr>
                <w:rFonts w:asciiTheme="minorHAnsi" w:hAnsiTheme="minorHAnsi"/>
              </w:rPr>
            </w:pPr>
            <w:r>
              <w:rPr>
                <w:rFonts w:asciiTheme="minorHAnsi" w:hAnsiTheme="minorHAnsi"/>
                <w:b/>
              </w:rPr>
              <w:t>Temporary.</w:t>
            </w:r>
            <w:r>
              <w:rPr>
                <w:rFonts w:asciiTheme="minorHAnsi" w:hAnsiTheme="minorHAnsi"/>
              </w:rPr>
              <w:t xml:space="preserve"> Destroy when superseded or obsolete, or upon separation or transfer of employee.</w:t>
            </w:r>
          </w:p>
        </w:tc>
        <w:tc>
          <w:tcPr>
            <w:tcW w:w="1350" w:type="dxa"/>
          </w:tcPr>
          <w:p w14:paraId="2DF3B612" w14:textId="77777777" w:rsidR="00383B67" w:rsidRPr="006C53EA" w:rsidRDefault="008F1B42" w:rsidP="00B4298A">
            <w:pPr>
              <w:spacing w:after="0" w:line="240" w:lineRule="auto"/>
              <w:rPr>
                <w:rFonts w:asciiTheme="minorHAnsi" w:hAnsiTheme="minorHAnsi" w:cstheme="minorHAnsi"/>
              </w:rPr>
            </w:pPr>
            <w:r>
              <w:rPr>
                <w:rFonts w:asciiTheme="minorHAnsi" w:hAnsiTheme="minorHAnsi" w:cstheme="minorHAnsi"/>
              </w:rPr>
              <w:t>DAA-GRS-2016-0004</w:t>
            </w:r>
            <w:r w:rsidR="00383B67" w:rsidRPr="006C53EA">
              <w:rPr>
                <w:rFonts w:asciiTheme="minorHAnsi" w:hAnsiTheme="minorHAnsi" w:cstheme="minorHAnsi"/>
              </w:rPr>
              <w:t>-</w:t>
            </w:r>
            <w:r w:rsidR="00383B67">
              <w:rPr>
                <w:rFonts w:asciiTheme="minorHAnsi" w:hAnsiTheme="minorHAnsi" w:cstheme="minorHAnsi"/>
              </w:rPr>
              <w:t>0002</w:t>
            </w:r>
          </w:p>
        </w:tc>
      </w:tr>
    </w:tbl>
    <w:p w14:paraId="05A691F0" w14:textId="77777777" w:rsidR="00FC21AD" w:rsidRPr="006C53EA" w:rsidRDefault="00FC21AD" w:rsidP="0080238B">
      <w:pPr>
        <w:rPr>
          <w:rFonts w:asciiTheme="minorHAnsi" w:hAnsiTheme="minorHAnsi"/>
          <w:b/>
        </w:rPr>
      </w:pPr>
    </w:p>
    <w:sectPr w:rsidR="00FC21AD" w:rsidRPr="006C53EA" w:rsidSect="00AF437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D295" w14:textId="77777777" w:rsidR="00137B65" w:rsidRDefault="00137B65" w:rsidP="008F3172">
      <w:pPr>
        <w:spacing w:after="0" w:line="240" w:lineRule="auto"/>
      </w:pPr>
      <w:r>
        <w:separator/>
      </w:r>
    </w:p>
  </w:endnote>
  <w:endnote w:type="continuationSeparator" w:id="0">
    <w:p w14:paraId="33F1211D" w14:textId="77777777" w:rsidR="00137B65" w:rsidRDefault="00137B65"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3516" w14:textId="77777777" w:rsidR="00AF437D" w:rsidRDefault="00AF4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9540" w14:textId="77777777" w:rsidR="00CF762D" w:rsidRDefault="00CF7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99111"/>
      <w:docPartObj>
        <w:docPartGallery w:val="Page Numbers (Bottom of Page)"/>
        <w:docPartUnique/>
      </w:docPartObj>
    </w:sdtPr>
    <w:sdtEndPr/>
    <w:sdtContent>
      <w:p w14:paraId="6C80A7AB" w14:textId="77777777" w:rsidR="00CF762D" w:rsidRDefault="00137B65">
        <w:pPr>
          <w:pStyle w:val="Footer"/>
          <w:jc w:val="center"/>
        </w:pPr>
      </w:p>
    </w:sdtContent>
  </w:sdt>
  <w:p w14:paraId="1EAD2EC7" w14:textId="77777777" w:rsidR="00CF762D" w:rsidRDefault="00CF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89BD" w14:textId="77777777" w:rsidR="00137B65" w:rsidRDefault="00137B65" w:rsidP="008F3172">
      <w:pPr>
        <w:spacing w:after="0" w:line="240" w:lineRule="auto"/>
      </w:pPr>
      <w:r>
        <w:separator/>
      </w:r>
    </w:p>
  </w:footnote>
  <w:footnote w:type="continuationSeparator" w:id="0">
    <w:p w14:paraId="5F654ABB" w14:textId="77777777" w:rsidR="00137B65" w:rsidRDefault="00137B65"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8FD" w14:textId="77777777" w:rsidR="00AF437D" w:rsidRDefault="00AF4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7091" w14:textId="5FAE0AE3" w:rsidR="00CD6273" w:rsidRPr="00A31178" w:rsidRDefault="00AF437D" w:rsidP="00CD6273">
    <w:pPr>
      <w:pStyle w:val="Header"/>
      <w:tabs>
        <w:tab w:val="clear" w:pos="9360"/>
        <w:tab w:val="right" w:pos="14400"/>
      </w:tabs>
      <w:rPr>
        <w:b/>
        <w:bCs/>
        <w:sz w:val="20"/>
        <w:szCs w:val="20"/>
      </w:rPr>
    </w:pPr>
    <w:r>
      <w:rPr>
        <w:b/>
        <w:bCs/>
        <w:sz w:val="20"/>
        <w:szCs w:val="20"/>
      </w:rPr>
      <w:t xml:space="preserve">Last updated in </w:t>
    </w:r>
    <w:r w:rsidR="00CD6273" w:rsidRPr="00A31178">
      <w:rPr>
        <w:b/>
        <w:bCs/>
        <w:sz w:val="20"/>
        <w:szCs w:val="20"/>
      </w:rPr>
      <w:t xml:space="preserve">Transmittal No. </w:t>
    </w:r>
    <w:r w:rsidR="00D84483">
      <w:rPr>
        <w:b/>
        <w:bCs/>
        <w:sz w:val="20"/>
        <w:szCs w:val="20"/>
      </w:rPr>
      <w:t>3</w:t>
    </w:r>
    <w:r w:rsidR="00962024">
      <w:rPr>
        <w:b/>
        <w:bCs/>
        <w:sz w:val="20"/>
        <w:szCs w:val="20"/>
      </w:rPr>
      <w:t>2</w:t>
    </w:r>
    <w:r w:rsidR="00CD6273" w:rsidRPr="00A31178">
      <w:rPr>
        <w:b/>
        <w:bCs/>
        <w:sz w:val="20"/>
        <w:szCs w:val="20"/>
      </w:rPr>
      <w:tab/>
    </w:r>
    <w:r w:rsidR="00CD6273" w:rsidRPr="00A31178">
      <w:rPr>
        <w:b/>
        <w:bCs/>
        <w:sz w:val="20"/>
        <w:szCs w:val="20"/>
      </w:rPr>
      <w:tab/>
      <w:t>General Records Schedule</w:t>
    </w:r>
    <w:r w:rsidR="00CD6273">
      <w:rPr>
        <w:b/>
        <w:bCs/>
        <w:sz w:val="20"/>
        <w:szCs w:val="20"/>
      </w:rPr>
      <w:t xml:space="preserve"> 5.3</w:t>
    </w:r>
  </w:p>
  <w:p w14:paraId="69757616" w14:textId="63ABDF71" w:rsidR="00CF762D" w:rsidRDefault="00962024">
    <w:pPr>
      <w:pStyle w:val="Header"/>
      <w:rPr>
        <w:b/>
        <w:bCs/>
        <w:sz w:val="20"/>
        <w:szCs w:val="20"/>
      </w:rPr>
    </w:pPr>
    <w:r>
      <w:rPr>
        <w:b/>
        <w:bCs/>
        <w:sz w:val="20"/>
        <w:szCs w:val="20"/>
      </w:rPr>
      <w:t>March 2022</w:t>
    </w:r>
  </w:p>
  <w:p w14:paraId="53A7E8D0" w14:textId="77777777"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9AA4" w14:textId="77777777" w:rsidR="00CD6273" w:rsidRPr="00A31178" w:rsidRDefault="00CD6273" w:rsidP="00CD6273">
    <w:pPr>
      <w:pStyle w:val="Header"/>
      <w:tabs>
        <w:tab w:val="clear" w:pos="9360"/>
        <w:tab w:val="right" w:pos="14400"/>
      </w:tabs>
      <w:rPr>
        <w:b/>
        <w:bCs/>
        <w:sz w:val="20"/>
        <w:szCs w:val="20"/>
      </w:rPr>
    </w:pPr>
    <w:r w:rsidRPr="00A31178">
      <w:rPr>
        <w:b/>
        <w:bCs/>
        <w:sz w:val="20"/>
        <w:szCs w:val="20"/>
      </w:rPr>
      <w:t>Transmittal No. 2</w:t>
    </w:r>
    <w:r>
      <w:rPr>
        <w:b/>
        <w:bCs/>
        <w:sz w:val="20"/>
        <w:szCs w:val="20"/>
      </w:rPr>
      <w:t>7</w:t>
    </w:r>
    <w:r w:rsidRPr="00A31178">
      <w:rPr>
        <w:b/>
        <w:bCs/>
        <w:sz w:val="20"/>
        <w:szCs w:val="20"/>
      </w:rPr>
      <w:tab/>
    </w:r>
    <w:r w:rsidRPr="00A31178">
      <w:rPr>
        <w:b/>
        <w:bCs/>
        <w:sz w:val="20"/>
        <w:szCs w:val="20"/>
      </w:rPr>
      <w:tab/>
      <w:t>General Records Schedule</w:t>
    </w:r>
    <w:r>
      <w:rPr>
        <w:b/>
        <w:bCs/>
        <w:sz w:val="20"/>
        <w:szCs w:val="20"/>
      </w:rPr>
      <w:t xml:space="preserve"> 5.3</w:t>
    </w:r>
  </w:p>
  <w:p w14:paraId="379687BB" w14:textId="77777777" w:rsidR="00CD6273" w:rsidRDefault="00CD6273" w:rsidP="00CD6273">
    <w:pPr>
      <w:pStyle w:val="Header"/>
      <w:rPr>
        <w:b/>
        <w:bCs/>
        <w:sz w:val="20"/>
        <w:szCs w:val="20"/>
      </w:rPr>
    </w:pPr>
    <w:r>
      <w:rPr>
        <w:b/>
        <w:sz w:val="20"/>
        <w:szCs w:val="20"/>
      </w:rPr>
      <w:t>January 2017</w:t>
    </w:r>
  </w:p>
  <w:p w14:paraId="24E1D80B" w14:textId="77777777" w:rsidR="00CD6273" w:rsidRDefault="00CD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787"/>
    <w:multiLevelType w:val="hybridMultilevel"/>
    <w:tmpl w:val="4BE4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6726DC"/>
    <w:multiLevelType w:val="hybridMultilevel"/>
    <w:tmpl w:val="FD8C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E375D"/>
    <w:multiLevelType w:val="hybridMultilevel"/>
    <w:tmpl w:val="61D4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E909C8"/>
    <w:multiLevelType w:val="hybridMultilevel"/>
    <w:tmpl w:val="DCB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A4C"/>
    <w:multiLevelType w:val="hybridMultilevel"/>
    <w:tmpl w:val="3780ABF4"/>
    <w:lvl w:ilvl="0" w:tplc="04090001">
      <w:start w:val="1"/>
      <w:numFmt w:val="bullet"/>
      <w:lvlText w:val=""/>
      <w:lvlJc w:val="left"/>
      <w:pPr>
        <w:ind w:left="1055" w:hanging="360"/>
      </w:pPr>
      <w:rPr>
        <w:rFonts w:ascii="Symbol" w:hAnsi="Symbol" w:hint="default"/>
      </w:rPr>
    </w:lvl>
    <w:lvl w:ilvl="1" w:tplc="04090003">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1"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1A5F77"/>
    <w:multiLevelType w:val="hybridMultilevel"/>
    <w:tmpl w:val="55540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F275F9"/>
    <w:multiLevelType w:val="hybridMultilevel"/>
    <w:tmpl w:val="422C0F2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0345F"/>
    <w:multiLevelType w:val="hybridMultilevel"/>
    <w:tmpl w:val="E2300A60"/>
    <w:lvl w:ilvl="0" w:tplc="741CF742">
      <w:start w:val="1"/>
      <w:numFmt w:val="bullet"/>
      <w:lvlText w:val="•"/>
      <w:lvlJc w:val="left"/>
      <w:pPr>
        <w:tabs>
          <w:tab w:val="num" w:pos="720"/>
        </w:tabs>
        <w:ind w:left="720" w:hanging="360"/>
      </w:pPr>
      <w:rPr>
        <w:rFonts w:ascii="Arial" w:hAnsi="Arial" w:hint="default"/>
      </w:rPr>
    </w:lvl>
    <w:lvl w:ilvl="1" w:tplc="21FAE1C6" w:tentative="1">
      <w:start w:val="1"/>
      <w:numFmt w:val="bullet"/>
      <w:lvlText w:val="•"/>
      <w:lvlJc w:val="left"/>
      <w:pPr>
        <w:tabs>
          <w:tab w:val="num" w:pos="1440"/>
        </w:tabs>
        <w:ind w:left="1440" w:hanging="360"/>
      </w:pPr>
      <w:rPr>
        <w:rFonts w:ascii="Arial" w:hAnsi="Arial" w:hint="default"/>
      </w:rPr>
    </w:lvl>
    <w:lvl w:ilvl="2" w:tplc="F6141AB4" w:tentative="1">
      <w:start w:val="1"/>
      <w:numFmt w:val="bullet"/>
      <w:lvlText w:val="•"/>
      <w:lvlJc w:val="left"/>
      <w:pPr>
        <w:tabs>
          <w:tab w:val="num" w:pos="2160"/>
        </w:tabs>
        <w:ind w:left="2160" w:hanging="360"/>
      </w:pPr>
      <w:rPr>
        <w:rFonts w:ascii="Arial" w:hAnsi="Arial" w:hint="default"/>
      </w:rPr>
    </w:lvl>
    <w:lvl w:ilvl="3" w:tplc="C0727E94" w:tentative="1">
      <w:start w:val="1"/>
      <w:numFmt w:val="bullet"/>
      <w:lvlText w:val="•"/>
      <w:lvlJc w:val="left"/>
      <w:pPr>
        <w:tabs>
          <w:tab w:val="num" w:pos="2880"/>
        </w:tabs>
        <w:ind w:left="2880" w:hanging="360"/>
      </w:pPr>
      <w:rPr>
        <w:rFonts w:ascii="Arial" w:hAnsi="Arial" w:hint="default"/>
      </w:rPr>
    </w:lvl>
    <w:lvl w:ilvl="4" w:tplc="80A0160A" w:tentative="1">
      <w:start w:val="1"/>
      <w:numFmt w:val="bullet"/>
      <w:lvlText w:val="•"/>
      <w:lvlJc w:val="left"/>
      <w:pPr>
        <w:tabs>
          <w:tab w:val="num" w:pos="3600"/>
        </w:tabs>
        <w:ind w:left="3600" w:hanging="360"/>
      </w:pPr>
      <w:rPr>
        <w:rFonts w:ascii="Arial" w:hAnsi="Arial" w:hint="default"/>
      </w:rPr>
    </w:lvl>
    <w:lvl w:ilvl="5" w:tplc="D1FEB0E4" w:tentative="1">
      <w:start w:val="1"/>
      <w:numFmt w:val="bullet"/>
      <w:lvlText w:val="•"/>
      <w:lvlJc w:val="left"/>
      <w:pPr>
        <w:tabs>
          <w:tab w:val="num" w:pos="4320"/>
        </w:tabs>
        <w:ind w:left="4320" w:hanging="360"/>
      </w:pPr>
      <w:rPr>
        <w:rFonts w:ascii="Arial" w:hAnsi="Arial" w:hint="default"/>
      </w:rPr>
    </w:lvl>
    <w:lvl w:ilvl="6" w:tplc="9E5EE480" w:tentative="1">
      <w:start w:val="1"/>
      <w:numFmt w:val="bullet"/>
      <w:lvlText w:val="•"/>
      <w:lvlJc w:val="left"/>
      <w:pPr>
        <w:tabs>
          <w:tab w:val="num" w:pos="5040"/>
        </w:tabs>
        <w:ind w:left="5040" w:hanging="360"/>
      </w:pPr>
      <w:rPr>
        <w:rFonts w:ascii="Arial" w:hAnsi="Arial" w:hint="default"/>
      </w:rPr>
    </w:lvl>
    <w:lvl w:ilvl="7" w:tplc="921CDB8E" w:tentative="1">
      <w:start w:val="1"/>
      <w:numFmt w:val="bullet"/>
      <w:lvlText w:val="•"/>
      <w:lvlJc w:val="left"/>
      <w:pPr>
        <w:tabs>
          <w:tab w:val="num" w:pos="5760"/>
        </w:tabs>
        <w:ind w:left="5760" w:hanging="360"/>
      </w:pPr>
      <w:rPr>
        <w:rFonts w:ascii="Arial" w:hAnsi="Arial" w:hint="default"/>
      </w:rPr>
    </w:lvl>
    <w:lvl w:ilvl="8" w:tplc="5AA87C6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7"/>
  </w:num>
  <w:num w:numId="3">
    <w:abstractNumId w:val="13"/>
  </w:num>
  <w:num w:numId="4">
    <w:abstractNumId w:val="11"/>
  </w:num>
  <w:num w:numId="5">
    <w:abstractNumId w:val="8"/>
  </w:num>
  <w:num w:numId="6">
    <w:abstractNumId w:val="2"/>
  </w:num>
  <w:num w:numId="7">
    <w:abstractNumId w:val="14"/>
  </w:num>
  <w:num w:numId="8">
    <w:abstractNumId w:val="21"/>
  </w:num>
  <w:num w:numId="9">
    <w:abstractNumId w:val="9"/>
  </w:num>
  <w:num w:numId="10">
    <w:abstractNumId w:val="20"/>
  </w:num>
  <w:num w:numId="11">
    <w:abstractNumId w:val="0"/>
  </w:num>
  <w:num w:numId="12">
    <w:abstractNumId w:val="7"/>
  </w:num>
  <w:num w:numId="13">
    <w:abstractNumId w:val="12"/>
  </w:num>
  <w:num w:numId="14">
    <w:abstractNumId w:val="16"/>
  </w:num>
  <w:num w:numId="15">
    <w:abstractNumId w:val="6"/>
  </w:num>
  <w:num w:numId="16">
    <w:abstractNumId w:val="22"/>
  </w:num>
  <w:num w:numId="17">
    <w:abstractNumId w:val="15"/>
  </w:num>
  <w:num w:numId="18">
    <w:abstractNumId w:val="3"/>
  </w:num>
  <w:num w:numId="19">
    <w:abstractNumId w:val="4"/>
  </w:num>
  <w:num w:numId="20">
    <w:abstractNumId w:val="1"/>
  </w:num>
  <w:num w:numId="21">
    <w:abstractNumId w:val="5"/>
  </w:num>
  <w:num w:numId="22">
    <w:abstractNumId w:val="1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72"/>
    <w:rsid w:val="00012CD7"/>
    <w:rsid w:val="00015930"/>
    <w:rsid w:val="00022AAF"/>
    <w:rsid w:val="0003150B"/>
    <w:rsid w:val="00040FBD"/>
    <w:rsid w:val="0005016B"/>
    <w:rsid w:val="000569FC"/>
    <w:rsid w:val="00076098"/>
    <w:rsid w:val="00093079"/>
    <w:rsid w:val="00094B92"/>
    <w:rsid w:val="000B3BC4"/>
    <w:rsid w:val="000B5B23"/>
    <w:rsid w:val="000E15C3"/>
    <w:rsid w:val="000F1722"/>
    <w:rsid w:val="001263CC"/>
    <w:rsid w:val="001314B5"/>
    <w:rsid w:val="00137B65"/>
    <w:rsid w:val="0014313E"/>
    <w:rsid w:val="00143DB3"/>
    <w:rsid w:val="00146071"/>
    <w:rsid w:val="001713D2"/>
    <w:rsid w:val="001813C1"/>
    <w:rsid w:val="00185E2A"/>
    <w:rsid w:val="00190785"/>
    <w:rsid w:val="00191417"/>
    <w:rsid w:val="001929E8"/>
    <w:rsid w:val="00192AD8"/>
    <w:rsid w:val="001D2911"/>
    <w:rsid w:val="001E0A24"/>
    <w:rsid w:val="001F2529"/>
    <w:rsid w:val="002052BF"/>
    <w:rsid w:val="0021295A"/>
    <w:rsid w:val="00232C3C"/>
    <w:rsid w:val="00245E61"/>
    <w:rsid w:val="00264B9A"/>
    <w:rsid w:val="00270084"/>
    <w:rsid w:val="00286849"/>
    <w:rsid w:val="00290E4E"/>
    <w:rsid w:val="00291DA8"/>
    <w:rsid w:val="00297C53"/>
    <w:rsid w:val="002B0C8A"/>
    <w:rsid w:val="002C45B8"/>
    <w:rsid w:val="002C7DA5"/>
    <w:rsid w:val="002D2643"/>
    <w:rsid w:val="002D6D2F"/>
    <w:rsid w:val="002F2AA8"/>
    <w:rsid w:val="002F308C"/>
    <w:rsid w:val="002F454E"/>
    <w:rsid w:val="00335E30"/>
    <w:rsid w:val="00343D19"/>
    <w:rsid w:val="00355B0D"/>
    <w:rsid w:val="00366EE0"/>
    <w:rsid w:val="00372F74"/>
    <w:rsid w:val="00383B67"/>
    <w:rsid w:val="00387F8A"/>
    <w:rsid w:val="003A671E"/>
    <w:rsid w:val="003C45E1"/>
    <w:rsid w:val="003C5B10"/>
    <w:rsid w:val="003D0136"/>
    <w:rsid w:val="003D4238"/>
    <w:rsid w:val="003E24C8"/>
    <w:rsid w:val="00402998"/>
    <w:rsid w:val="00416EC6"/>
    <w:rsid w:val="00424769"/>
    <w:rsid w:val="0043580F"/>
    <w:rsid w:val="00440CE5"/>
    <w:rsid w:val="00475716"/>
    <w:rsid w:val="00485D96"/>
    <w:rsid w:val="00490567"/>
    <w:rsid w:val="004A26E3"/>
    <w:rsid w:val="004A6F9A"/>
    <w:rsid w:val="004B3F0F"/>
    <w:rsid w:val="004C7901"/>
    <w:rsid w:val="004C7921"/>
    <w:rsid w:val="004D3181"/>
    <w:rsid w:val="004D42E5"/>
    <w:rsid w:val="004E0187"/>
    <w:rsid w:val="004E4FC6"/>
    <w:rsid w:val="004F4EE1"/>
    <w:rsid w:val="004F7164"/>
    <w:rsid w:val="004F7D89"/>
    <w:rsid w:val="00501EE5"/>
    <w:rsid w:val="00521DCB"/>
    <w:rsid w:val="0053282F"/>
    <w:rsid w:val="005338F0"/>
    <w:rsid w:val="00537A85"/>
    <w:rsid w:val="00552BD0"/>
    <w:rsid w:val="00573EA5"/>
    <w:rsid w:val="00593BED"/>
    <w:rsid w:val="005949AD"/>
    <w:rsid w:val="005B61F3"/>
    <w:rsid w:val="005B7823"/>
    <w:rsid w:val="005D2829"/>
    <w:rsid w:val="005D5D5F"/>
    <w:rsid w:val="005E13B3"/>
    <w:rsid w:val="005E3720"/>
    <w:rsid w:val="00603D5A"/>
    <w:rsid w:val="00614B49"/>
    <w:rsid w:val="0061700E"/>
    <w:rsid w:val="006251AF"/>
    <w:rsid w:val="006265F2"/>
    <w:rsid w:val="0062793E"/>
    <w:rsid w:val="00632350"/>
    <w:rsid w:val="0063599D"/>
    <w:rsid w:val="00661899"/>
    <w:rsid w:val="006629A0"/>
    <w:rsid w:val="006849C7"/>
    <w:rsid w:val="00684E43"/>
    <w:rsid w:val="00693DB6"/>
    <w:rsid w:val="006972C8"/>
    <w:rsid w:val="006A3355"/>
    <w:rsid w:val="006A3E03"/>
    <w:rsid w:val="006A49A1"/>
    <w:rsid w:val="006C40B9"/>
    <w:rsid w:val="006C53EA"/>
    <w:rsid w:val="006D1455"/>
    <w:rsid w:val="006E6278"/>
    <w:rsid w:val="006E6E75"/>
    <w:rsid w:val="006F3C20"/>
    <w:rsid w:val="006F5515"/>
    <w:rsid w:val="00726CA2"/>
    <w:rsid w:val="00736336"/>
    <w:rsid w:val="00742FC0"/>
    <w:rsid w:val="00761183"/>
    <w:rsid w:val="00763E19"/>
    <w:rsid w:val="007719C5"/>
    <w:rsid w:val="00783CD5"/>
    <w:rsid w:val="0079156E"/>
    <w:rsid w:val="0079284F"/>
    <w:rsid w:val="007A0379"/>
    <w:rsid w:val="007A1E35"/>
    <w:rsid w:val="007A241C"/>
    <w:rsid w:val="007A7BE5"/>
    <w:rsid w:val="007F3C9F"/>
    <w:rsid w:val="007F6C26"/>
    <w:rsid w:val="0080238B"/>
    <w:rsid w:val="00814AEE"/>
    <w:rsid w:val="008340C9"/>
    <w:rsid w:val="00842A84"/>
    <w:rsid w:val="00843809"/>
    <w:rsid w:val="00846C80"/>
    <w:rsid w:val="008531A4"/>
    <w:rsid w:val="00861191"/>
    <w:rsid w:val="00877D44"/>
    <w:rsid w:val="008F1B42"/>
    <w:rsid w:val="008F3172"/>
    <w:rsid w:val="00904643"/>
    <w:rsid w:val="00904BF8"/>
    <w:rsid w:val="0090533F"/>
    <w:rsid w:val="009073C5"/>
    <w:rsid w:val="00907E07"/>
    <w:rsid w:val="009237B0"/>
    <w:rsid w:val="009300CB"/>
    <w:rsid w:val="00934C33"/>
    <w:rsid w:val="00934E59"/>
    <w:rsid w:val="00960119"/>
    <w:rsid w:val="00962024"/>
    <w:rsid w:val="00967B53"/>
    <w:rsid w:val="0099039E"/>
    <w:rsid w:val="009B697F"/>
    <w:rsid w:val="009B7A7A"/>
    <w:rsid w:val="009D215D"/>
    <w:rsid w:val="009E3D41"/>
    <w:rsid w:val="009E45C5"/>
    <w:rsid w:val="00A10082"/>
    <w:rsid w:val="00A5284D"/>
    <w:rsid w:val="00A71778"/>
    <w:rsid w:val="00A849C3"/>
    <w:rsid w:val="00AB3B99"/>
    <w:rsid w:val="00AD02A5"/>
    <w:rsid w:val="00AF437D"/>
    <w:rsid w:val="00B2111E"/>
    <w:rsid w:val="00B23194"/>
    <w:rsid w:val="00B36333"/>
    <w:rsid w:val="00B4298A"/>
    <w:rsid w:val="00B51C36"/>
    <w:rsid w:val="00B52ADE"/>
    <w:rsid w:val="00B52B9F"/>
    <w:rsid w:val="00B550BA"/>
    <w:rsid w:val="00B562D2"/>
    <w:rsid w:val="00B56974"/>
    <w:rsid w:val="00B75E2E"/>
    <w:rsid w:val="00B804F9"/>
    <w:rsid w:val="00B82776"/>
    <w:rsid w:val="00B906E0"/>
    <w:rsid w:val="00B958F9"/>
    <w:rsid w:val="00BC6DDE"/>
    <w:rsid w:val="00BD5705"/>
    <w:rsid w:val="00BF0AEB"/>
    <w:rsid w:val="00C037F8"/>
    <w:rsid w:val="00C06B48"/>
    <w:rsid w:val="00C07D1E"/>
    <w:rsid w:val="00C10DA4"/>
    <w:rsid w:val="00C22AF5"/>
    <w:rsid w:val="00C50525"/>
    <w:rsid w:val="00C566E6"/>
    <w:rsid w:val="00C6221D"/>
    <w:rsid w:val="00C63EDB"/>
    <w:rsid w:val="00C74875"/>
    <w:rsid w:val="00C84706"/>
    <w:rsid w:val="00C91DBE"/>
    <w:rsid w:val="00CB2C70"/>
    <w:rsid w:val="00CB5E8F"/>
    <w:rsid w:val="00CD5F34"/>
    <w:rsid w:val="00CD6273"/>
    <w:rsid w:val="00CF762D"/>
    <w:rsid w:val="00D10B88"/>
    <w:rsid w:val="00D167E2"/>
    <w:rsid w:val="00D5274C"/>
    <w:rsid w:val="00D60314"/>
    <w:rsid w:val="00D75A83"/>
    <w:rsid w:val="00D77D71"/>
    <w:rsid w:val="00D84483"/>
    <w:rsid w:val="00D93175"/>
    <w:rsid w:val="00D967A3"/>
    <w:rsid w:val="00DA0360"/>
    <w:rsid w:val="00DC68B5"/>
    <w:rsid w:val="00DE3EDD"/>
    <w:rsid w:val="00DE4BE2"/>
    <w:rsid w:val="00E05B8B"/>
    <w:rsid w:val="00E120AA"/>
    <w:rsid w:val="00E22508"/>
    <w:rsid w:val="00E31F64"/>
    <w:rsid w:val="00E36346"/>
    <w:rsid w:val="00E372B1"/>
    <w:rsid w:val="00E4039B"/>
    <w:rsid w:val="00E40714"/>
    <w:rsid w:val="00E4085B"/>
    <w:rsid w:val="00E425DC"/>
    <w:rsid w:val="00E47FE4"/>
    <w:rsid w:val="00E9088C"/>
    <w:rsid w:val="00E95798"/>
    <w:rsid w:val="00EB4D95"/>
    <w:rsid w:val="00EC430C"/>
    <w:rsid w:val="00EE0E28"/>
    <w:rsid w:val="00EE257D"/>
    <w:rsid w:val="00F01A0A"/>
    <w:rsid w:val="00F305FA"/>
    <w:rsid w:val="00F34128"/>
    <w:rsid w:val="00F3559A"/>
    <w:rsid w:val="00F60518"/>
    <w:rsid w:val="00F6546E"/>
    <w:rsid w:val="00FA1738"/>
    <w:rsid w:val="00FA498A"/>
    <w:rsid w:val="00FB30B9"/>
    <w:rsid w:val="00FB37C8"/>
    <w:rsid w:val="00FB4805"/>
    <w:rsid w:val="00FB6F9D"/>
    <w:rsid w:val="00FC21AD"/>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0B04"/>
  <w15:docId w15:val="{3711E615-964F-447D-AAB3-6FA1E039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character" w:customStyle="1" w:styleId="description">
    <w:name w:val="description"/>
    <w:basedOn w:val="DefaultParagraphFont"/>
    <w:rsid w:val="009B7A7A"/>
  </w:style>
  <w:style w:type="paragraph" w:customStyle="1" w:styleId="Default">
    <w:name w:val="Default"/>
    <w:rsid w:val="00614B49"/>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3E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C8"/>
    <w:rPr>
      <w:sz w:val="22"/>
      <w:szCs w:val="22"/>
    </w:rPr>
  </w:style>
  <w:style w:type="paragraph" w:styleId="Footer">
    <w:name w:val="footer"/>
    <w:basedOn w:val="Normal"/>
    <w:link w:val="FooterChar"/>
    <w:uiPriority w:val="99"/>
    <w:unhideWhenUsed/>
    <w:rsid w:val="003E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967612">
      <w:bodyDiv w:val="1"/>
      <w:marLeft w:val="0"/>
      <w:marRight w:val="0"/>
      <w:marTop w:val="0"/>
      <w:marBottom w:val="0"/>
      <w:divBdr>
        <w:top w:val="none" w:sz="0" w:space="0" w:color="auto"/>
        <w:left w:val="none" w:sz="0" w:space="0" w:color="auto"/>
        <w:bottom w:val="none" w:sz="0" w:space="0" w:color="auto"/>
        <w:right w:val="none" w:sz="0" w:space="0" w:color="auto"/>
      </w:divBdr>
      <w:divsChild>
        <w:div w:id="834106172">
          <w:marLeft w:val="547"/>
          <w:marRight w:val="0"/>
          <w:marTop w:val="77"/>
          <w:marBottom w:val="0"/>
          <w:divBdr>
            <w:top w:val="none" w:sz="0" w:space="0" w:color="auto"/>
            <w:left w:val="none" w:sz="0" w:space="0" w:color="auto"/>
            <w:bottom w:val="none" w:sz="0" w:space="0" w:color="auto"/>
            <w:right w:val="none" w:sz="0" w:space="0" w:color="auto"/>
          </w:divBdr>
        </w:div>
        <w:div w:id="1635483385">
          <w:marLeft w:val="547"/>
          <w:marRight w:val="0"/>
          <w:marTop w:val="77"/>
          <w:marBottom w:val="0"/>
          <w:divBdr>
            <w:top w:val="none" w:sz="0" w:space="0" w:color="auto"/>
            <w:left w:val="none" w:sz="0" w:space="0" w:color="auto"/>
            <w:bottom w:val="none" w:sz="0" w:space="0" w:color="auto"/>
            <w:right w:val="none" w:sz="0" w:space="0" w:color="auto"/>
          </w:divBdr>
        </w:div>
      </w:divsChild>
    </w:div>
    <w:div w:id="1654601384">
      <w:bodyDiv w:val="1"/>
      <w:marLeft w:val="0"/>
      <w:marRight w:val="0"/>
      <w:marTop w:val="0"/>
      <w:marBottom w:val="0"/>
      <w:divBdr>
        <w:top w:val="none" w:sz="0" w:space="0" w:color="auto"/>
        <w:left w:val="none" w:sz="0" w:space="0" w:color="auto"/>
        <w:bottom w:val="none" w:sz="0" w:space="0" w:color="auto"/>
        <w:right w:val="none" w:sz="0" w:space="0" w:color="auto"/>
      </w:divBdr>
    </w:div>
    <w:div w:id="18658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E7707-2CF9-48B3-B289-67F2FB1B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GRS 5.3</vt:lpstr>
    </vt:vector>
  </TitlesOfParts>
  <Company>NARA</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 5.3</dc:title>
  <dc:creator>GRS Team</dc:creator>
  <dc:description>UPDATED: 5-14-18</dc:description>
  <cp:lastModifiedBy>Katherene Kim</cp:lastModifiedBy>
  <cp:revision>2</cp:revision>
  <dcterms:created xsi:type="dcterms:W3CDTF">2022-02-28T15:00:00Z</dcterms:created>
  <dcterms:modified xsi:type="dcterms:W3CDTF">2022-02-28T15:00:00Z</dcterms:modified>
</cp:coreProperties>
</file>