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2E48D5" w14:textId="77777777" w:rsidR="004221F4" w:rsidRDefault="00000000">
      <w:pPr>
        <w:spacing w:after="0" w:line="240" w:lineRule="auto"/>
        <w:ind w:left="-720"/>
        <w:jc w:val="center"/>
      </w:pPr>
      <w:r>
        <w:rPr>
          <w:b/>
          <w:sz w:val="36"/>
          <w:szCs w:val="36"/>
        </w:rPr>
        <w:t>GENERAL RECORDS SCHEDULE 5.2: Transitory and Intermediary Records</w:t>
      </w:r>
    </w:p>
    <w:p w14:paraId="3FACEB58" w14:textId="77777777" w:rsidR="004221F4" w:rsidRDefault="00000000">
      <w:pPr>
        <w:tabs>
          <w:tab w:val="left" w:pos="10231"/>
        </w:tabs>
        <w:spacing w:after="0" w:line="240" w:lineRule="auto"/>
      </w:pPr>
      <w:r>
        <w:tab/>
      </w:r>
    </w:p>
    <w:p w14:paraId="67CD723F" w14:textId="77777777" w:rsidR="004221F4" w:rsidRDefault="00000000">
      <w:pPr>
        <w:spacing w:after="0" w:line="240" w:lineRule="auto"/>
        <w:rPr>
          <w:strike/>
        </w:rPr>
      </w:pPr>
      <w:r>
        <w:t xml:space="preserve">This schedule covers records of a transitory or intermediary nature. Transitory records are routine records of short-term value (generally less than 180 days). Intermediary records are those involved in creating a subsequent record. These records do not document significant decisions or actions an agency takes. </w:t>
      </w:r>
    </w:p>
    <w:p w14:paraId="4FA4CE93" w14:textId="77777777" w:rsidR="004221F4" w:rsidRDefault="004221F4">
      <w:pPr>
        <w:spacing w:after="0" w:line="240" w:lineRule="auto"/>
        <w:rPr>
          <w:b/>
        </w:rPr>
      </w:pPr>
    </w:p>
    <w:p w14:paraId="0095C8A1" w14:textId="77777777" w:rsidR="004221F4" w:rsidRDefault="00000000">
      <w:pPr>
        <w:spacing w:after="0" w:line="240" w:lineRule="auto"/>
        <w:rPr>
          <w:b/>
        </w:rPr>
      </w:pPr>
      <w:r>
        <w:rPr>
          <w:b/>
        </w:rPr>
        <w:t>Exclusions:</w:t>
      </w:r>
    </w:p>
    <w:p w14:paraId="0D3E7932" w14:textId="77777777" w:rsidR="004221F4" w:rsidRDefault="00000000">
      <w:pPr>
        <w:numPr>
          <w:ilvl w:val="0"/>
          <w:numId w:val="3"/>
        </w:numPr>
        <w:spacing w:after="0" w:line="240" w:lineRule="auto"/>
        <w:rPr>
          <w:rFonts w:ascii="Arial" w:eastAsia="Arial" w:hAnsi="Arial" w:cs="Arial"/>
        </w:rPr>
      </w:pPr>
      <w:bookmarkStart w:id="0" w:name="_heading=h.gjdgxs" w:colFirst="0" w:colLast="0"/>
      <w:bookmarkEnd w:id="0"/>
      <w:r>
        <w:t>Source records that have been digitized.  GRS 4.5, Digitizing Records, covers these records.</w:t>
      </w:r>
    </w:p>
    <w:p w14:paraId="30BC2931" w14:textId="77777777" w:rsidR="004221F4" w:rsidRDefault="004221F4">
      <w:pPr>
        <w:spacing w:after="0" w:line="240" w:lineRule="auto"/>
      </w:pPr>
    </w:p>
    <w:tbl>
      <w:tblPr>
        <w:tblStyle w:val="a4"/>
        <w:tblW w:w="145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9450"/>
        <w:gridCol w:w="2790"/>
        <w:gridCol w:w="1620"/>
      </w:tblGrid>
      <w:tr w:rsidR="004221F4" w14:paraId="5D8D65BD" w14:textId="77777777" w:rsidTr="0053351E">
        <w:trPr>
          <w:tblHeader/>
        </w:trPr>
        <w:tc>
          <w:tcPr>
            <w:tcW w:w="720" w:type="dxa"/>
            <w:shd w:val="clear" w:color="auto" w:fill="B6DDE8"/>
          </w:tcPr>
          <w:p w14:paraId="3D84FA5B" w14:textId="77777777" w:rsidR="004221F4" w:rsidRDefault="00000000">
            <w:pPr>
              <w:spacing w:after="0" w:line="240" w:lineRule="auto"/>
              <w:jc w:val="center"/>
            </w:pPr>
            <w:r>
              <w:rPr>
                <w:b/>
              </w:rPr>
              <w:t>Item</w:t>
            </w:r>
          </w:p>
        </w:tc>
        <w:tc>
          <w:tcPr>
            <w:tcW w:w="9450" w:type="dxa"/>
            <w:shd w:val="clear" w:color="auto" w:fill="B6DDE8"/>
          </w:tcPr>
          <w:p w14:paraId="31854412" w14:textId="77777777" w:rsidR="004221F4" w:rsidRDefault="00000000">
            <w:pPr>
              <w:spacing w:after="0" w:line="240" w:lineRule="auto"/>
            </w:pPr>
            <w:r>
              <w:rPr>
                <w:b/>
              </w:rPr>
              <w:t>Records Description</w:t>
            </w:r>
          </w:p>
        </w:tc>
        <w:tc>
          <w:tcPr>
            <w:tcW w:w="2790" w:type="dxa"/>
            <w:shd w:val="clear" w:color="auto" w:fill="B6DDE8"/>
          </w:tcPr>
          <w:p w14:paraId="609141F3" w14:textId="77777777" w:rsidR="004221F4" w:rsidRDefault="00000000">
            <w:pPr>
              <w:spacing w:after="0" w:line="240" w:lineRule="auto"/>
              <w:jc w:val="center"/>
            </w:pPr>
            <w:r>
              <w:rPr>
                <w:b/>
              </w:rPr>
              <w:t>Disposition Instruction</w:t>
            </w:r>
          </w:p>
        </w:tc>
        <w:tc>
          <w:tcPr>
            <w:tcW w:w="1620" w:type="dxa"/>
            <w:shd w:val="clear" w:color="auto" w:fill="B6DDE8"/>
          </w:tcPr>
          <w:p w14:paraId="3F9BF832" w14:textId="77777777" w:rsidR="004221F4" w:rsidRDefault="00000000">
            <w:pPr>
              <w:spacing w:after="0" w:line="240" w:lineRule="auto"/>
              <w:jc w:val="center"/>
            </w:pPr>
            <w:r>
              <w:rPr>
                <w:b/>
              </w:rPr>
              <w:t>Disposition Authority</w:t>
            </w:r>
          </w:p>
        </w:tc>
      </w:tr>
      <w:tr w:rsidR="004221F4" w14:paraId="47696CBC" w14:textId="77777777" w:rsidTr="0053351E">
        <w:tc>
          <w:tcPr>
            <w:tcW w:w="720" w:type="dxa"/>
          </w:tcPr>
          <w:p w14:paraId="1484D9C1" w14:textId="77777777" w:rsidR="004221F4" w:rsidRDefault="00000000">
            <w:pPr>
              <w:spacing w:after="0" w:line="240" w:lineRule="auto"/>
              <w:jc w:val="center"/>
            </w:pPr>
            <w:r>
              <w:t>010</w:t>
            </w:r>
          </w:p>
        </w:tc>
        <w:tc>
          <w:tcPr>
            <w:tcW w:w="9450" w:type="dxa"/>
          </w:tcPr>
          <w:p w14:paraId="47A28FA3" w14:textId="77777777" w:rsidR="004221F4" w:rsidRDefault="00000000">
            <w:pPr>
              <w:spacing w:after="0" w:line="240" w:lineRule="auto"/>
              <w:ind w:left="11"/>
            </w:pPr>
            <w:r>
              <w:rPr>
                <w:b/>
              </w:rPr>
              <w:t>Transitory records.</w:t>
            </w:r>
          </w:p>
          <w:p w14:paraId="426D47D7" w14:textId="77777777" w:rsidR="004221F4" w:rsidRDefault="00000000">
            <w:pPr>
              <w:spacing w:after="0" w:line="240" w:lineRule="auto"/>
            </w:pPr>
            <w:r>
              <w:t>Records that meet the following conditions:</w:t>
            </w:r>
          </w:p>
          <w:p w14:paraId="7569E4F5" w14:textId="77777777" w:rsidR="004221F4" w:rsidRDefault="00000000">
            <w:pPr>
              <w:numPr>
                <w:ilvl w:val="0"/>
                <w:numId w:val="1"/>
              </w:numPr>
              <w:spacing w:after="0" w:line="240" w:lineRule="auto"/>
            </w:pPr>
            <w:r>
              <w:t xml:space="preserve">They are required for only a short time (generally less than 180 days) </w:t>
            </w:r>
            <w:r>
              <w:rPr>
                <w:b/>
              </w:rPr>
              <w:t>and</w:t>
            </w:r>
            <w:r>
              <w:t xml:space="preserve"> </w:t>
            </w:r>
          </w:p>
          <w:p w14:paraId="7A8193BF" w14:textId="77777777" w:rsidR="004221F4" w:rsidRDefault="00000000">
            <w:pPr>
              <w:numPr>
                <w:ilvl w:val="0"/>
                <w:numId w:val="1"/>
              </w:numPr>
              <w:spacing w:after="0" w:line="240" w:lineRule="auto"/>
            </w:pPr>
            <w:r>
              <w:t xml:space="preserve">They are not required to meet legal or fiscal obligations, or to initiate, sustain, evaluate, or provide evidence of decision-making. </w:t>
            </w:r>
          </w:p>
          <w:p w14:paraId="580DF342" w14:textId="77777777" w:rsidR="004221F4" w:rsidRDefault="004221F4">
            <w:pPr>
              <w:spacing w:after="0" w:line="240" w:lineRule="auto"/>
            </w:pPr>
          </w:p>
          <w:p w14:paraId="2A3A01F8" w14:textId="77777777" w:rsidR="004221F4" w:rsidRDefault="00000000">
            <w:pPr>
              <w:spacing w:after="0" w:line="240" w:lineRule="auto"/>
            </w:pPr>
            <w:r>
              <w:t>For specific examples, see the GRS 5.2 Frequently Asked Questions (FAQs).</w:t>
            </w:r>
          </w:p>
          <w:p w14:paraId="0E6A5C84" w14:textId="77777777" w:rsidR="004221F4" w:rsidRDefault="004221F4">
            <w:pPr>
              <w:spacing w:after="0" w:line="240" w:lineRule="auto"/>
              <w:ind w:left="328"/>
            </w:pPr>
          </w:p>
          <w:p w14:paraId="216BEA21" w14:textId="77777777" w:rsidR="004221F4" w:rsidRDefault="00000000">
            <w:pPr>
              <w:spacing w:after="0" w:line="240" w:lineRule="auto"/>
            </w:pPr>
            <w:r>
              <w:rPr>
                <w:b/>
              </w:rPr>
              <w:t>Exclusion:</w:t>
            </w:r>
            <w:r>
              <w:t xml:space="preserve"> This item does not include the following data output files, which must be scheduled on an agency-specific schedule:</w:t>
            </w:r>
          </w:p>
          <w:p w14:paraId="4401B3FA" w14:textId="77777777" w:rsidR="004221F4" w:rsidRDefault="00000000">
            <w:pPr>
              <w:numPr>
                <w:ilvl w:val="0"/>
                <w:numId w:val="2"/>
              </w:numPr>
              <w:spacing w:after="0" w:line="240" w:lineRule="auto"/>
              <w:ind w:left="720"/>
            </w:pPr>
            <w:r>
              <w:t xml:space="preserve">files created specifically for public access purposes </w:t>
            </w:r>
          </w:p>
          <w:p w14:paraId="10625C4F" w14:textId="77777777" w:rsidR="004221F4" w:rsidRDefault="00000000">
            <w:pPr>
              <w:numPr>
                <w:ilvl w:val="0"/>
                <w:numId w:val="2"/>
              </w:numPr>
              <w:spacing w:after="0" w:line="240" w:lineRule="auto"/>
              <w:ind w:left="720"/>
            </w:pPr>
            <w:r>
              <w:t xml:space="preserve">summarized information from unscheduled electronic records or inaccessible permanent records </w:t>
            </w:r>
          </w:p>
          <w:p w14:paraId="287BF80D" w14:textId="77777777" w:rsidR="004221F4" w:rsidRDefault="00000000">
            <w:pPr>
              <w:numPr>
                <w:ilvl w:val="0"/>
                <w:numId w:val="2"/>
              </w:numPr>
              <w:spacing w:after="0" w:line="240" w:lineRule="auto"/>
              <w:ind w:left="720"/>
            </w:pPr>
            <w:r>
              <w:t xml:space="preserve">data extracts produced by a process that significantly changes the content of the file from the source records’ content, effectively creating a new data file </w:t>
            </w:r>
          </w:p>
        </w:tc>
        <w:tc>
          <w:tcPr>
            <w:tcW w:w="2790" w:type="dxa"/>
          </w:tcPr>
          <w:p w14:paraId="36E7CACA" w14:textId="77777777" w:rsidR="004221F4" w:rsidRDefault="00000000">
            <w:pPr>
              <w:spacing w:after="0" w:line="240" w:lineRule="auto"/>
            </w:pPr>
            <w:r>
              <w:rPr>
                <w:b/>
              </w:rPr>
              <w:t xml:space="preserve">Temporary. </w:t>
            </w:r>
            <w:r>
              <w:t xml:space="preserve">Destroy when no longer needed for business use, or according to an agency predetermined </w:t>
            </w:r>
            <w:proofErr w:type="gramStart"/>
            <w:r>
              <w:t>time period</w:t>
            </w:r>
            <w:proofErr w:type="gramEnd"/>
            <w:r>
              <w:t xml:space="preserve"> or business rule.</w:t>
            </w:r>
          </w:p>
          <w:p w14:paraId="755B6678" w14:textId="77777777" w:rsidR="004221F4" w:rsidRDefault="004221F4">
            <w:pPr>
              <w:spacing w:after="0" w:line="240" w:lineRule="auto"/>
            </w:pPr>
          </w:p>
        </w:tc>
        <w:tc>
          <w:tcPr>
            <w:tcW w:w="1620" w:type="dxa"/>
          </w:tcPr>
          <w:p w14:paraId="4E77078C" w14:textId="77777777" w:rsidR="004221F4" w:rsidRDefault="00000000">
            <w:pPr>
              <w:spacing w:after="0" w:line="240" w:lineRule="auto"/>
            </w:pPr>
            <w:r>
              <w:t>DAA-GRS-2022-0009-0001</w:t>
            </w:r>
          </w:p>
        </w:tc>
      </w:tr>
      <w:tr w:rsidR="004221F4" w14:paraId="6AAD51AA" w14:textId="77777777" w:rsidTr="0053351E">
        <w:tc>
          <w:tcPr>
            <w:tcW w:w="720" w:type="dxa"/>
          </w:tcPr>
          <w:p w14:paraId="327D5133" w14:textId="77777777" w:rsidR="004221F4" w:rsidRDefault="00000000">
            <w:pPr>
              <w:spacing w:after="0" w:line="240" w:lineRule="auto"/>
              <w:jc w:val="center"/>
            </w:pPr>
            <w:r>
              <w:t>020</w:t>
            </w:r>
          </w:p>
        </w:tc>
        <w:tc>
          <w:tcPr>
            <w:tcW w:w="9450" w:type="dxa"/>
          </w:tcPr>
          <w:p w14:paraId="0CA0D065" w14:textId="77777777" w:rsidR="004221F4" w:rsidRDefault="00000000">
            <w:pPr>
              <w:spacing w:after="0" w:line="240" w:lineRule="auto"/>
              <w:rPr>
                <w:b/>
              </w:rPr>
            </w:pPr>
            <w:r>
              <w:rPr>
                <w:b/>
              </w:rPr>
              <w:t>Intermediary records.</w:t>
            </w:r>
          </w:p>
          <w:p w14:paraId="10677561" w14:textId="77777777" w:rsidR="004221F4" w:rsidRDefault="00000000">
            <w:pPr>
              <w:spacing w:after="0" w:line="240" w:lineRule="auto"/>
            </w:pPr>
            <w:r>
              <w:t>Records that meet the following conditions:</w:t>
            </w:r>
          </w:p>
          <w:p w14:paraId="6C0ED70A" w14:textId="77777777" w:rsidR="004221F4" w:rsidRDefault="00000000">
            <w:pPr>
              <w:numPr>
                <w:ilvl w:val="0"/>
                <w:numId w:val="4"/>
              </w:numPr>
              <w:spacing w:after="0" w:line="240" w:lineRule="auto"/>
              <w:rPr>
                <w:color w:val="383B3C"/>
              </w:rPr>
            </w:pPr>
            <w:r>
              <w:rPr>
                <w:color w:val="383B3C"/>
              </w:rPr>
              <w:t xml:space="preserve">They exist for the sole purpose of creating a subsequent record </w:t>
            </w:r>
            <w:r>
              <w:rPr>
                <w:b/>
                <w:color w:val="383B3C"/>
              </w:rPr>
              <w:t>and</w:t>
            </w:r>
          </w:p>
          <w:p w14:paraId="105C7B72" w14:textId="77777777" w:rsidR="004221F4" w:rsidRDefault="00000000">
            <w:pPr>
              <w:numPr>
                <w:ilvl w:val="0"/>
                <w:numId w:val="4"/>
              </w:numPr>
              <w:spacing w:after="0" w:line="240" w:lineRule="auto"/>
            </w:pPr>
            <w:r>
              <w:t xml:space="preserve">They are not required to meet legal or fiscal obligations, or to initiate, sustain, evaluate, or provide evidence of decision-making. </w:t>
            </w:r>
          </w:p>
          <w:p w14:paraId="46F86B9A" w14:textId="77777777" w:rsidR="004221F4" w:rsidRDefault="004221F4">
            <w:pPr>
              <w:spacing w:after="0" w:line="240" w:lineRule="auto"/>
              <w:ind w:left="328"/>
            </w:pPr>
          </w:p>
          <w:p w14:paraId="4344CCB6" w14:textId="77777777" w:rsidR="004221F4" w:rsidRDefault="00000000">
            <w:pPr>
              <w:spacing w:after="0" w:line="240" w:lineRule="auto"/>
            </w:pPr>
            <w:r>
              <w:t>This includes certain analog and electronic source records for electronic systems that are not otherwise excluded. For specific examples, see the GRS 5.2 Frequently Asked Questions (FAQs).</w:t>
            </w:r>
          </w:p>
          <w:p w14:paraId="416E2CD2" w14:textId="77777777" w:rsidR="004221F4" w:rsidRDefault="004221F4">
            <w:pPr>
              <w:spacing w:after="0" w:line="240" w:lineRule="auto"/>
            </w:pPr>
          </w:p>
          <w:p w14:paraId="3ABA51CD" w14:textId="77777777" w:rsidR="004221F4" w:rsidRDefault="00000000">
            <w:pPr>
              <w:pBdr>
                <w:top w:val="nil"/>
                <w:left w:val="nil"/>
                <w:bottom w:val="nil"/>
                <w:right w:val="nil"/>
                <w:between w:val="nil"/>
              </w:pBdr>
              <w:spacing w:after="0" w:line="240" w:lineRule="auto"/>
            </w:pPr>
            <w:r>
              <w:rPr>
                <w:b/>
              </w:rPr>
              <w:t xml:space="preserve">Exclusion: </w:t>
            </w:r>
            <w:r>
              <w:t>Source records that have been digitized. GRS 4.5, item 010, covers these records.</w:t>
            </w:r>
          </w:p>
          <w:p w14:paraId="18E0F353" w14:textId="77777777" w:rsidR="004221F4" w:rsidRDefault="004221F4">
            <w:pPr>
              <w:pBdr>
                <w:top w:val="nil"/>
                <w:left w:val="nil"/>
                <w:bottom w:val="nil"/>
                <w:right w:val="nil"/>
                <w:between w:val="nil"/>
              </w:pBdr>
              <w:spacing w:after="0" w:line="240" w:lineRule="auto"/>
            </w:pPr>
          </w:p>
          <w:p w14:paraId="08E3866E" w14:textId="77777777" w:rsidR="004221F4" w:rsidRDefault="00000000">
            <w:pPr>
              <w:pBdr>
                <w:top w:val="nil"/>
                <w:left w:val="nil"/>
                <w:bottom w:val="nil"/>
                <w:right w:val="nil"/>
                <w:between w:val="nil"/>
              </w:pBdr>
              <w:spacing w:after="0" w:line="240" w:lineRule="auto"/>
              <w:rPr>
                <w:i/>
              </w:rPr>
            </w:pPr>
            <w:r>
              <w:rPr>
                <w:b/>
              </w:rPr>
              <w:t xml:space="preserve">Note: </w:t>
            </w:r>
            <w:r>
              <w:t>The GRS provides disposition authority for copies of electronic records from one system that are used as source records to another system, for example an extracted data set. The GRS does not apply to either the originating system or the final system in which the final records reside. These systems must be disposed of per an agency-specific schedule, or if appropriate, another GRS. It is possible that sometimes information is moved from one system to another without the creation of an intermediary copy.</w:t>
            </w:r>
          </w:p>
        </w:tc>
        <w:tc>
          <w:tcPr>
            <w:tcW w:w="2790" w:type="dxa"/>
          </w:tcPr>
          <w:p w14:paraId="1BA8E42F" w14:textId="77777777" w:rsidR="004221F4" w:rsidRDefault="00000000">
            <w:pPr>
              <w:spacing w:after="0" w:line="240" w:lineRule="auto"/>
            </w:pPr>
            <w:bookmarkStart w:id="1" w:name="_heading=h.30j0zll" w:colFirst="0" w:colLast="0"/>
            <w:bookmarkEnd w:id="1"/>
            <w:r>
              <w:rPr>
                <w:b/>
              </w:rPr>
              <w:lastRenderedPageBreak/>
              <w:t xml:space="preserve">Temporary.  </w:t>
            </w:r>
            <w:r>
              <w:t>Destroy upon creation or update of the final record, or when no longer needed for business use, whichever is later.</w:t>
            </w:r>
          </w:p>
          <w:p w14:paraId="394697B9" w14:textId="77777777" w:rsidR="004221F4" w:rsidRDefault="004221F4">
            <w:pPr>
              <w:spacing w:after="0" w:line="240" w:lineRule="auto"/>
            </w:pPr>
            <w:bookmarkStart w:id="2" w:name="_heading=h.i5jeggbqxbe2" w:colFirst="0" w:colLast="0"/>
            <w:bookmarkEnd w:id="2"/>
          </w:p>
          <w:p w14:paraId="643753F8" w14:textId="77777777" w:rsidR="004221F4" w:rsidRDefault="004221F4">
            <w:pPr>
              <w:spacing w:after="0" w:line="240" w:lineRule="auto"/>
            </w:pPr>
            <w:bookmarkStart w:id="3" w:name="_heading=h.ob39o078ka01" w:colFirst="0" w:colLast="0"/>
            <w:bookmarkEnd w:id="3"/>
          </w:p>
          <w:p w14:paraId="399D410A" w14:textId="77777777" w:rsidR="004221F4" w:rsidRDefault="004221F4">
            <w:pPr>
              <w:spacing w:after="0" w:line="240" w:lineRule="auto"/>
            </w:pPr>
            <w:bookmarkStart w:id="4" w:name="_heading=h.1fob9te" w:colFirst="0" w:colLast="0"/>
            <w:bookmarkEnd w:id="4"/>
          </w:p>
          <w:p w14:paraId="60D4DE58" w14:textId="77777777" w:rsidR="004221F4" w:rsidRDefault="004221F4">
            <w:pPr>
              <w:spacing w:after="0" w:line="240" w:lineRule="auto"/>
            </w:pPr>
            <w:bookmarkStart w:id="5" w:name="_heading=h.3znysh7" w:colFirst="0" w:colLast="0"/>
            <w:bookmarkEnd w:id="5"/>
          </w:p>
          <w:p w14:paraId="6162BB45" w14:textId="77777777" w:rsidR="004221F4" w:rsidRDefault="004221F4">
            <w:pPr>
              <w:spacing w:after="0" w:line="240" w:lineRule="auto"/>
            </w:pPr>
          </w:p>
          <w:p w14:paraId="23B73616" w14:textId="77777777" w:rsidR="004221F4" w:rsidRDefault="004221F4">
            <w:pPr>
              <w:spacing w:after="0" w:line="240" w:lineRule="auto"/>
            </w:pPr>
          </w:p>
        </w:tc>
        <w:tc>
          <w:tcPr>
            <w:tcW w:w="1620" w:type="dxa"/>
          </w:tcPr>
          <w:p w14:paraId="46A2B2AC" w14:textId="77777777" w:rsidR="004221F4" w:rsidRDefault="00000000">
            <w:pPr>
              <w:spacing w:after="0" w:line="240" w:lineRule="auto"/>
            </w:pPr>
            <w:r>
              <w:lastRenderedPageBreak/>
              <w:t>DAA-GRS-2022-0009-0002</w:t>
            </w:r>
          </w:p>
        </w:tc>
      </w:tr>
    </w:tbl>
    <w:p w14:paraId="1622D727" w14:textId="77777777" w:rsidR="004221F4" w:rsidRDefault="004221F4"/>
    <w:sectPr w:rsidR="004221F4">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E0A57" w14:textId="77777777" w:rsidR="009E20E7" w:rsidRDefault="009E20E7">
      <w:pPr>
        <w:spacing w:after="0" w:line="240" w:lineRule="auto"/>
      </w:pPr>
      <w:r>
        <w:separator/>
      </w:r>
    </w:p>
  </w:endnote>
  <w:endnote w:type="continuationSeparator" w:id="0">
    <w:p w14:paraId="3BFAC81F" w14:textId="77777777" w:rsidR="009E20E7" w:rsidRDefault="009E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58828" w14:textId="77777777" w:rsidR="007D4EAD" w:rsidRDefault="007D4E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850F7" w14:textId="77777777" w:rsidR="004221F4" w:rsidRDefault="00000000">
    <w:pPr>
      <w:tabs>
        <w:tab w:val="center" w:pos="4680"/>
        <w:tab w:val="right" w:pos="9360"/>
      </w:tabs>
      <w:spacing w:after="720" w:line="240" w:lineRule="auto"/>
    </w:pPr>
    <w:r>
      <w:tab/>
    </w:r>
  </w:p>
  <w:p w14:paraId="7336CF12" w14:textId="77777777" w:rsidR="004221F4" w:rsidRDefault="004221F4">
    <w:pPr>
      <w:tabs>
        <w:tab w:val="center" w:pos="4680"/>
        <w:tab w:val="right" w:pos="9360"/>
      </w:tabs>
      <w:spacing w:after="72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2039A" w14:textId="77777777" w:rsidR="004221F4" w:rsidRDefault="00000000">
    <w:pPr>
      <w:tabs>
        <w:tab w:val="center" w:pos="4680"/>
        <w:tab w:val="right" w:pos="9360"/>
      </w:tabs>
      <w:spacing w:after="0" w:line="240" w:lineRule="auto"/>
    </w:pPr>
    <w:r>
      <w:tab/>
    </w:r>
    <w:r>
      <w:tab/>
    </w:r>
    <w:r>
      <w:tab/>
    </w:r>
    <w:r>
      <w:tab/>
    </w:r>
    <w:r>
      <w:tab/>
    </w:r>
    <w:r>
      <w:tab/>
    </w:r>
    <w:r>
      <w:tab/>
    </w:r>
    <w:r>
      <w:tab/>
    </w:r>
    <w:r>
      <w:tab/>
    </w:r>
  </w:p>
  <w:p w14:paraId="51A10E73" w14:textId="77777777" w:rsidR="004221F4" w:rsidRDefault="004221F4">
    <w:pPr>
      <w:tabs>
        <w:tab w:val="center" w:pos="4680"/>
        <w:tab w:val="right" w:pos="9360"/>
      </w:tabs>
      <w:spacing w:after="72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81106" w14:textId="77777777" w:rsidR="009E20E7" w:rsidRDefault="009E20E7">
      <w:pPr>
        <w:spacing w:after="0" w:line="240" w:lineRule="auto"/>
      </w:pPr>
      <w:r>
        <w:separator/>
      </w:r>
    </w:p>
  </w:footnote>
  <w:footnote w:type="continuationSeparator" w:id="0">
    <w:p w14:paraId="742CA42A" w14:textId="77777777" w:rsidR="009E20E7" w:rsidRDefault="009E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3A9C0" w14:textId="77777777" w:rsidR="007D4EAD" w:rsidRDefault="007D4E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3A27C" w14:textId="77777777" w:rsidR="004221F4" w:rsidRDefault="004221F4">
    <w:pPr>
      <w:tabs>
        <w:tab w:val="center" w:pos="4680"/>
        <w:tab w:val="right" w:pos="9360"/>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790CA" w14:textId="57AAE394" w:rsidR="00360F02" w:rsidRPr="002A4590" w:rsidRDefault="00360F02" w:rsidP="00360F02">
    <w:pPr>
      <w:pStyle w:val="Header"/>
      <w:rPr>
        <w:b/>
        <w:bCs/>
      </w:rPr>
    </w:pPr>
    <w:r w:rsidRPr="002A4590">
      <w:rPr>
        <w:b/>
        <w:bCs/>
      </w:rPr>
      <w:t>Transmittal No. 34</w:t>
    </w:r>
    <w:r w:rsidRPr="002A4590">
      <w:rPr>
        <w:b/>
        <w:bCs/>
      </w:rPr>
      <w:tab/>
    </w:r>
    <w:r w:rsidRPr="002A4590">
      <w:rPr>
        <w:b/>
        <w:bCs/>
      </w:rPr>
      <w:tab/>
    </w:r>
    <w:r w:rsidRPr="002A4590">
      <w:rPr>
        <w:b/>
        <w:bCs/>
      </w:rPr>
      <w:tab/>
    </w:r>
    <w:r w:rsidRPr="002A4590">
      <w:rPr>
        <w:b/>
        <w:bCs/>
      </w:rPr>
      <w:tab/>
    </w:r>
    <w:r w:rsidRPr="002A4590">
      <w:rPr>
        <w:b/>
        <w:bCs/>
      </w:rPr>
      <w:tab/>
      <w:t xml:space="preserve">General Records Schedule </w:t>
    </w:r>
    <w:r>
      <w:rPr>
        <w:b/>
        <w:bCs/>
      </w:rPr>
      <w:t>5.2</w:t>
    </w:r>
    <w:r w:rsidRPr="002A4590">
      <w:rPr>
        <w:b/>
        <w:bCs/>
      </w:rPr>
      <w:t xml:space="preserve"> </w:t>
    </w:r>
  </w:p>
  <w:p w14:paraId="21558515" w14:textId="7D46ABF3" w:rsidR="004221F4" w:rsidRDefault="007D4EAD" w:rsidP="00360F02">
    <w:pPr>
      <w:pStyle w:val="Header"/>
      <w:rPr>
        <w:b/>
        <w:bCs/>
      </w:rPr>
    </w:pPr>
    <w:r>
      <w:rPr>
        <w:b/>
        <w:bCs/>
      </w:rPr>
      <w:t>June</w:t>
    </w:r>
    <w:r w:rsidR="00360F02" w:rsidRPr="002A4590">
      <w:rPr>
        <w:b/>
        <w:bCs/>
      </w:rPr>
      <w:t xml:space="preserve"> 2023</w:t>
    </w:r>
  </w:p>
  <w:p w14:paraId="111A2090" w14:textId="77777777" w:rsidR="00360F02" w:rsidRPr="00360F02" w:rsidRDefault="00360F02" w:rsidP="00360F02">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E2C7A"/>
    <w:multiLevelType w:val="multilevel"/>
    <w:tmpl w:val="12440614"/>
    <w:lvl w:ilvl="0">
      <w:start w:val="1"/>
      <w:numFmt w:val="bullet"/>
      <w:lvlText w:val="●"/>
      <w:lvlJc w:val="left"/>
      <w:pPr>
        <w:ind w:left="1050" w:hanging="360"/>
      </w:pPr>
      <w:rPr>
        <w:rFonts w:ascii="Calibri" w:eastAsia="Calibri" w:hAnsi="Calibri" w:cs="Calibri"/>
        <w:b w:val="0"/>
        <w:sz w:val="22"/>
        <w:szCs w:val="22"/>
      </w:rPr>
    </w:lvl>
    <w:lvl w:ilvl="1">
      <w:start w:val="1"/>
      <w:numFmt w:val="bullet"/>
      <w:lvlText w:val="○"/>
      <w:lvlJc w:val="left"/>
      <w:pPr>
        <w:ind w:left="1770" w:hanging="360"/>
      </w:pPr>
      <w:rPr>
        <w:rFonts w:ascii="Courier New" w:eastAsia="Courier New" w:hAnsi="Courier New" w:cs="Courier New"/>
      </w:rPr>
    </w:lvl>
    <w:lvl w:ilvl="2">
      <w:start w:val="1"/>
      <w:numFmt w:val="bullet"/>
      <w:lvlText w:val="■"/>
      <w:lvlJc w:val="left"/>
      <w:pPr>
        <w:ind w:left="2490" w:hanging="360"/>
      </w:pPr>
      <w:rPr>
        <w:rFonts w:ascii="Noto Sans" w:eastAsia="Noto Sans" w:hAnsi="Noto Sans" w:cs="Noto Sans"/>
      </w:rPr>
    </w:lvl>
    <w:lvl w:ilvl="3">
      <w:start w:val="1"/>
      <w:numFmt w:val="bullet"/>
      <w:lvlText w:val="●"/>
      <w:lvlJc w:val="left"/>
      <w:pPr>
        <w:ind w:left="3210" w:hanging="360"/>
      </w:pPr>
      <w:rPr>
        <w:rFonts w:ascii="Noto Sans" w:eastAsia="Noto Sans" w:hAnsi="Noto Sans" w:cs="Noto Sans"/>
      </w:rPr>
    </w:lvl>
    <w:lvl w:ilvl="4">
      <w:start w:val="1"/>
      <w:numFmt w:val="bullet"/>
      <w:lvlText w:val="○"/>
      <w:lvlJc w:val="left"/>
      <w:pPr>
        <w:ind w:left="3930" w:hanging="360"/>
      </w:pPr>
      <w:rPr>
        <w:rFonts w:ascii="Courier New" w:eastAsia="Courier New" w:hAnsi="Courier New" w:cs="Courier New"/>
      </w:rPr>
    </w:lvl>
    <w:lvl w:ilvl="5">
      <w:start w:val="1"/>
      <w:numFmt w:val="bullet"/>
      <w:lvlText w:val="■"/>
      <w:lvlJc w:val="left"/>
      <w:pPr>
        <w:ind w:left="4650" w:hanging="360"/>
      </w:pPr>
      <w:rPr>
        <w:rFonts w:ascii="Noto Sans" w:eastAsia="Noto Sans" w:hAnsi="Noto Sans" w:cs="Noto Sans"/>
      </w:rPr>
    </w:lvl>
    <w:lvl w:ilvl="6">
      <w:start w:val="1"/>
      <w:numFmt w:val="bullet"/>
      <w:lvlText w:val="●"/>
      <w:lvlJc w:val="left"/>
      <w:pPr>
        <w:ind w:left="5370" w:hanging="360"/>
      </w:pPr>
      <w:rPr>
        <w:rFonts w:ascii="Noto Sans" w:eastAsia="Noto Sans" w:hAnsi="Noto Sans" w:cs="Noto Sans"/>
      </w:rPr>
    </w:lvl>
    <w:lvl w:ilvl="7">
      <w:start w:val="1"/>
      <w:numFmt w:val="bullet"/>
      <w:lvlText w:val="○"/>
      <w:lvlJc w:val="left"/>
      <w:pPr>
        <w:ind w:left="6090" w:hanging="360"/>
      </w:pPr>
      <w:rPr>
        <w:rFonts w:ascii="Courier New" w:eastAsia="Courier New" w:hAnsi="Courier New" w:cs="Courier New"/>
      </w:rPr>
    </w:lvl>
    <w:lvl w:ilvl="8">
      <w:start w:val="1"/>
      <w:numFmt w:val="bullet"/>
      <w:lvlText w:val="■"/>
      <w:lvlJc w:val="left"/>
      <w:pPr>
        <w:ind w:left="6810" w:hanging="360"/>
      </w:pPr>
      <w:rPr>
        <w:rFonts w:ascii="Noto Sans" w:eastAsia="Noto Sans" w:hAnsi="Noto Sans" w:cs="Noto Sans"/>
      </w:rPr>
    </w:lvl>
  </w:abstractNum>
  <w:abstractNum w:abstractNumId="1" w15:restartNumberingAfterBreak="0">
    <w:nsid w:val="1F9F4FCA"/>
    <w:multiLevelType w:val="multilevel"/>
    <w:tmpl w:val="9E409F9E"/>
    <w:lvl w:ilvl="0">
      <w:start w:val="1"/>
      <w:numFmt w:val="decimal"/>
      <w:lvlText w:val="%1."/>
      <w:lvlJc w:val="left"/>
      <w:pPr>
        <w:ind w:left="720" w:hanging="360"/>
      </w:pPr>
      <w:rPr>
        <w:rFonts w:asciiTheme="majorHAnsi" w:hAnsiTheme="majorHAnsi" w:cstheme="majorHAnsi"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55F71EF"/>
    <w:multiLevelType w:val="multilevel"/>
    <w:tmpl w:val="7DAE04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CD54880"/>
    <w:multiLevelType w:val="multilevel"/>
    <w:tmpl w:val="2990C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31308169">
    <w:abstractNumId w:val="3"/>
  </w:num>
  <w:num w:numId="2" w16cid:durableId="272709532">
    <w:abstractNumId w:val="0"/>
  </w:num>
  <w:num w:numId="3" w16cid:durableId="1028457062">
    <w:abstractNumId w:val="1"/>
  </w:num>
  <w:num w:numId="4" w16cid:durableId="19171250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1F4"/>
    <w:rsid w:val="000E49F4"/>
    <w:rsid w:val="0013144D"/>
    <w:rsid w:val="00360F02"/>
    <w:rsid w:val="004221F4"/>
    <w:rsid w:val="0053351E"/>
    <w:rsid w:val="007D4EAD"/>
    <w:rsid w:val="009E20E7"/>
    <w:rsid w:val="00BE20D5"/>
    <w:rsid w:val="00DC5DF5"/>
    <w:rsid w:val="00F32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29C66"/>
  <w15:docId w15:val="{7A9BB07F-C6CB-4AD2-A8EF-82B45BE87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43" w:type="dxa"/>
        <w:left w:w="115" w:type="dxa"/>
        <w:bottom w:w="43"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733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3C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46BC9"/>
    <w:rPr>
      <w:b/>
      <w:bCs/>
    </w:rPr>
  </w:style>
  <w:style w:type="character" w:customStyle="1" w:styleId="CommentSubjectChar">
    <w:name w:val="Comment Subject Char"/>
    <w:basedOn w:val="CommentTextChar"/>
    <w:link w:val="CommentSubject"/>
    <w:uiPriority w:val="99"/>
    <w:semiHidden/>
    <w:rsid w:val="00246BC9"/>
    <w:rPr>
      <w:b/>
      <w:bCs/>
      <w:sz w:val="20"/>
      <w:szCs w:val="20"/>
    </w:rPr>
  </w:style>
  <w:style w:type="table" w:customStyle="1" w:styleId="a0">
    <w:basedOn w:val="TableNormal"/>
    <w:tblPr>
      <w:tblStyleRowBandSize w:val="1"/>
      <w:tblStyleColBandSize w:val="1"/>
      <w:tblCellMar>
        <w:top w:w="43" w:type="dxa"/>
        <w:left w:w="115" w:type="dxa"/>
        <w:bottom w:w="43" w:type="dxa"/>
        <w:right w:w="115" w:type="dxa"/>
      </w:tblCellMar>
    </w:tblPr>
  </w:style>
  <w:style w:type="table" w:customStyle="1" w:styleId="a1">
    <w:basedOn w:val="TableNormal"/>
    <w:tblPr>
      <w:tblStyleRowBandSize w:val="1"/>
      <w:tblStyleColBandSize w:val="1"/>
      <w:tblCellMar>
        <w:top w:w="43" w:type="dxa"/>
        <w:left w:w="115" w:type="dxa"/>
        <w:bottom w:w="43" w:type="dxa"/>
        <w:right w:w="115" w:type="dxa"/>
      </w:tblCellMar>
    </w:tblPr>
  </w:style>
  <w:style w:type="table" w:customStyle="1" w:styleId="a2">
    <w:basedOn w:val="TableNormal"/>
    <w:tblPr>
      <w:tblStyleRowBandSize w:val="1"/>
      <w:tblStyleColBandSize w:val="1"/>
      <w:tblCellMar>
        <w:top w:w="43" w:type="dxa"/>
        <w:left w:w="115" w:type="dxa"/>
        <w:bottom w:w="43" w:type="dxa"/>
        <w:right w:w="115" w:type="dxa"/>
      </w:tblCellMar>
    </w:tblPr>
  </w:style>
  <w:style w:type="table" w:customStyle="1" w:styleId="a3">
    <w:basedOn w:val="TableNormal"/>
    <w:tblPr>
      <w:tblStyleRowBandSize w:val="1"/>
      <w:tblStyleColBandSize w:val="1"/>
      <w:tblCellMar>
        <w:top w:w="43" w:type="dxa"/>
        <w:left w:w="115" w:type="dxa"/>
        <w:bottom w:w="43" w:type="dxa"/>
        <w:right w:w="115" w:type="dxa"/>
      </w:tblCellMar>
    </w:tblPr>
  </w:style>
  <w:style w:type="table" w:customStyle="1" w:styleId="a4">
    <w:basedOn w:val="TableNormal"/>
    <w:tblPr>
      <w:tblStyleRowBandSize w:val="1"/>
      <w:tblStyleColBandSize w:val="1"/>
      <w:tblCellMar>
        <w:top w:w="43" w:type="dxa"/>
        <w:left w:w="115" w:type="dxa"/>
        <w:bottom w:w="43" w:type="dxa"/>
        <w:right w:w="115" w:type="dxa"/>
      </w:tblCellMar>
    </w:tblPr>
  </w:style>
  <w:style w:type="paragraph" w:styleId="Header">
    <w:name w:val="header"/>
    <w:basedOn w:val="Normal"/>
    <w:link w:val="HeaderChar"/>
    <w:uiPriority w:val="99"/>
    <w:unhideWhenUsed/>
    <w:rsid w:val="00360F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F02"/>
  </w:style>
  <w:style w:type="paragraph" w:styleId="Footer">
    <w:name w:val="footer"/>
    <w:basedOn w:val="Normal"/>
    <w:link w:val="FooterChar"/>
    <w:uiPriority w:val="99"/>
    <w:unhideWhenUsed/>
    <w:rsid w:val="00360F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lpW4kBu9Oo+/DQNYmmjFwgVTpiQ==">AMUW2mWYgCG5TPZv+gR6sF+c2VbPjTIdeGHhugBooAMXzbm8li9yVOLR50X/29oEbsVw+Aozd61pd6HHl7+f1MVecWD6j0VKgBdY6iycmh6e9IIA+RcehGPlxkSHDK7ppNOGNG0bSW4gZxtTOuKO5Axbxx7zkWCWmUV4bx0HKEIZqxCs0GuBf2r2w3fA9vOiowmU2R74SHlvzEEmV+OhAATlhuqWWZPxySpbjOmCbd1LpBiG/7sPeMwf17TQPIcV3KXCOQxm6ZWi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2328</Characters>
  <Application>Microsoft Office Word</Application>
  <DocSecurity>0</DocSecurity>
  <Lines>70</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Katherene Kim</dc:creator>
  <cp:lastModifiedBy>Jocelyn L Blakely-Hill</cp:lastModifiedBy>
  <cp:revision>2</cp:revision>
  <dcterms:created xsi:type="dcterms:W3CDTF">2023-06-28T16:50:00Z</dcterms:created>
  <dcterms:modified xsi:type="dcterms:W3CDTF">2023-06-28T16:50:00Z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66a0676b99873edd3d16334bd55d47c54e919d7f8b4d0e638e02623b734766f4</vt:lpwstr>
  </property>
</Properties>
</file>